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D4D" w14:textId="77777777" w:rsidR="003014DF" w:rsidRDefault="003014DF" w:rsidP="00153698">
      <w:pPr>
        <w:rPr>
          <w:rFonts w:cs="David"/>
          <w:rtl/>
        </w:rPr>
      </w:pPr>
    </w:p>
    <w:p w14:paraId="7F368EDE" w14:textId="77777777" w:rsidR="00153698" w:rsidRPr="00D80398" w:rsidRDefault="00153698" w:rsidP="00153698">
      <w:pPr>
        <w:rPr>
          <w:rFonts w:cs="David"/>
          <w:rtl/>
        </w:rPr>
      </w:pPr>
      <w:r w:rsidRPr="00D80398">
        <w:rPr>
          <w:rFonts w:cs="David" w:hint="cs"/>
          <w:rtl/>
        </w:rPr>
        <w:t xml:space="preserve">                   </w:t>
      </w:r>
    </w:p>
    <w:p w14:paraId="6B13CA11" w14:textId="44F64392" w:rsidR="00153698" w:rsidRPr="00D80398" w:rsidRDefault="00153698" w:rsidP="00153698">
      <w:pPr>
        <w:tabs>
          <w:tab w:val="left" w:pos="1286"/>
        </w:tabs>
        <w:rPr>
          <w:rFonts w:cs="David"/>
          <w:b/>
          <w:bCs/>
          <w:rtl/>
        </w:rPr>
      </w:pPr>
      <w:r w:rsidRPr="00D80398">
        <w:rPr>
          <w:rFonts w:cs="David" w:hint="cs"/>
          <w:rtl/>
        </w:rPr>
        <w:tab/>
      </w:r>
      <w:r w:rsidRPr="00D80398">
        <w:rPr>
          <w:rFonts w:cs="David" w:hint="cs"/>
          <w:b/>
          <w:bCs/>
          <w:rtl/>
        </w:rPr>
        <w:t>ה</w:t>
      </w:r>
      <w:r w:rsidR="0008252E">
        <w:rPr>
          <w:rFonts w:cs="David" w:hint="cs"/>
          <w:b/>
          <w:bCs/>
          <w:rtl/>
        </w:rPr>
        <w:t>עוררת</w:t>
      </w:r>
      <w:r w:rsidRPr="00D80398">
        <w:rPr>
          <w:rFonts w:cs="David" w:hint="cs"/>
          <w:b/>
          <w:bCs/>
          <w:rtl/>
        </w:rPr>
        <w:t xml:space="preserve">:     </w:t>
      </w:r>
      <w:r w:rsidR="00A73D7B">
        <w:rPr>
          <w:rFonts w:cs="David" w:hint="cs"/>
          <w:b/>
          <w:bCs/>
          <w:rtl/>
        </w:rPr>
        <w:t>רונית מקובר</w:t>
      </w:r>
    </w:p>
    <w:p w14:paraId="713BCBE9" w14:textId="20CE7A5A" w:rsidR="003014DF" w:rsidRDefault="00153698" w:rsidP="00F317E5">
      <w:pPr>
        <w:rPr>
          <w:rFonts w:cs="David"/>
          <w:rtl/>
        </w:rPr>
      </w:pPr>
      <w:r w:rsidRPr="00D80398">
        <w:rPr>
          <w:rFonts w:cs="David" w:hint="cs"/>
          <w:rtl/>
        </w:rPr>
        <w:t xml:space="preserve">     </w:t>
      </w:r>
      <w:r w:rsidR="00A73D7B">
        <w:rPr>
          <w:rFonts w:cs="David"/>
          <w:rtl/>
        </w:rPr>
        <w:tab/>
      </w:r>
      <w:r w:rsidR="00A73D7B">
        <w:rPr>
          <w:rFonts w:cs="David"/>
          <w:rtl/>
        </w:rPr>
        <w:tab/>
      </w:r>
      <w:r w:rsidR="00A73D7B">
        <w:rPr>
          <w:rFonts w:cs="David"/>
          <w:rtl/>
        </w:rPr>
        <w:tab/>
      </w:r>
      <w:r w:rsidR="00A73D7B">
        <w:rPr>
          <w:rFonts w:cs="David" w:hint="cs"/>
          <w:rtl/>
        </w:rPr>
        <w:t>בעצמה</w:t>
      </w:r>
      <w:r w:rsidR="00A73D7B">
        <w:rPr>
          <w:rFonts w:cs="David"/>
          <w:rtl/>
        </w:rPr>
        <w:tab/>
      </w:r>
    </w:p>
    <w:p w14:paraId="1E0A8C7A" w14:textId="77777777" w:rsidR="003014DF" w:rsidRDefault="003014DF" w:rsidP="00F317E5">
      <w:pPr>
        <w:rPr>
          <w:rFonts w:cs="David"/>
          <w:rtl/>
        </w:rPr>
      </w:pPr>
    </w:p>
    <w:p w14:paraId="15BBEE47" w14:textId="77777777" w:rsidR="00153698" w:rsidRPr="00D80398" w:rsidRDefault="00153698" w:rsidP="00F317E5">
      <w:pPr>
        <w:rPr>
          <w:rFonts w:cs="David"/>
          <w:b/>
          <w:bCs/>
          <w:rtl/>
        </w:rPr>
      </w:pPr>
      <w:r w:rsidRPr="00D80398">
        <w:rPr>
          <w:rFonts w:cs="David"/>
          <w:rtl/>
        </w:rPr>
        <w:br/>
      </w:r>
      <w:r w:rsidRPr="00D80398">
        <w:rPr>
          <w:rFonts w:cs="David" w:hint="cs"/>
          <w:b/>
          <w:bCs/>
          <w:rtl/>
        </w:rPr>
        <w:t xml:space="preserve">                        המשיב:      מנהל הארנונה של עיריית גבעתיים</w:t>
      </w:r>
    </w:p>
    <w:p w14:paraId="65B0D7FB" w14:textId="603CD596" w:rsidR="00153698" w:rsidRPr="00D80398" w:rsidRDefault="00153698" w:rsidP="00153698">
      <w:pPr>
        <w:rPr>
          <w:rFonts w:cs="David"/>
          <w:rtl/>
        </w:rPr>
      </w:pPr>
      <w:r w:rsidRPr="00D80398">
        <w:rPr>
          <w:rFonts w:cs="David" w:hint="cs"/>
          <w:rtl/>
        </w:rPr>
        <w:t xml:space="preserve">                                            ע"י ב"כ עוה"ד </w:t>
      </w:r>
      <w:r w:rsidR="00A73D7B">
        <w:rPr>
          <w:rFonts w:cs="David" w:hint="cs"/>
          <w:rtl/>
        </w:rPr>
        <w:t>יונתן מוטעי</w:t>
      </w:r>
      <w:r w:rsidRPr="00D80398">
        <w:rPr>
          <w:rFonts w:cs="David" w:hint="cs"/>
          <w:rtl/>
        </w:rPr>
        <w:t xml:space="preserve"> </w:t>
      </w:r>
    </w:p>
    <w:p w14:paraId="4C5AAF3F" w14:textId="77777777" w:rsidR="003014DF" w:rsidRDefault="003014DF" w:rsidP="00093D39">
      <w:pPr>
        <w:jc w:val="center"/>
        <w:rPr>
          <w:rFonts w:cs="David"/>
          <w:b/>
          <w:bCs/>
          <w:sz w:val="34"/>
          <w:szCs w:val="34"/>
          <w:u w:val="single"/>
          <w:rtl/>
        </w:rPr>
      </w:pPr>
    </w:p>
    <w:p w14:paraId="4E01CF6A" w14:textId="77777777" w:rsidR="003014DF" w:rsidRDefault="003014DF" w:rsidP="00093D39">
      <w:pPr>
        <w:jc w:val="center"/>
        <w:rPr>
          <w:rFonts w:cs="David"/>
          <w:b/>
          <w:bCs/>
          <w:sz w:val="34"/>
          <w:szCs w:val="34"/>
          <w:u w:val="single"/>
          <w:rtl/>
        </w:rPr>
      </w:pPr>
    </w:p>
    <w:p w14:paraId="367EF2F2" w14:textId="77777777" w:rsidR="00093D39" w:rsidRPr="00D80398" w:rsidRDefault="00093D39" w:rsidP="00093D39">
      <w:pPr>
        <w:jc w:val="center"/>
        <w:rPr>
          <w:rFonts w:cs="David"/>
          <w:b/>
          <w:bCs/>
          <w:sz w:val="34"/>
          <w:szCs w:val="34"/>
          <w:u w:val="single"/>
          <w:rtl/>
        </w:rPr>
      </w:pPr>
      <w:r w:rsidRPr="00D80398">
        <w:rPr>
          <w:rFonts w:cs="David" w:hint="cs"/>
          <w:b/>
          <w:bCs/>
          <w:sz w:val="34"/>
          <w:szCs w:val="34"/>
          <w:u w:val="single"/>
          <w:rtl/>
        </w:rPr>
        <w:t>החלטה</w:t>
      </w:r>
    </w:p>
    <w:p w14:paraId="53CE0981" w14:textId="439C166F" w:rsidR="003014DF" w:rsidRDefault="003014DF" w:rsidP="00093D39">
      <w:pPr>
        <w:jc w:val="center"/>
        <w:rPr>
          <w:rFonts w:cs="David"/>
          <w:b/>
          <w:bCs/>
          <w:sz w:val="34"/>
          <w:szCs w:val="34"/>
          <w:u w:val="single"/>
          <w:rtl/>
        </w:rPr>
      </w:pPr>
    </w:p>
    <w:p w14:paraId="5615810E" w14:textId="77777777" w:rsidR="004E7ABF" w:rsidRPr="00D80398" w:rsidRDefault="004E7ABF" w:rsidP="00093D39">
      <w:pPr>
        <w:jc w:val="center"/>
        <w:rPr>
          <w:rFonts w:cs="David"/>
          <w:b/>
          <w:bCs/>
          <w:sz w:val="34"/>
          <w:szCs w:val="34"/>
          <w:u w:val="single"/>
          <w:rtl/>
        </w:rPr>
      </w:pPr>
    </w:p>
    <w:p w14:paraId="224F7A13" w14:textId="77777777" w:rsidR="000D1CC5" w:rsidRPr="00D80398" w:rsidRDefault="00535F27" w:rsidP="000D1CC5">
      <w:pPr>
        <w:spacing w:line="360" w:lineRule="auto"/>
        <w:ind w:left="360" w:firstLine="720"/>
        <w:jc w:val="both"/>
        <w:rPr>
          <w:rFonts w:cs="David"/>
          <w:b/>
          <w:bCs/>
          <w:sz w:val="28"/>
          <w:szCs w:val="28"/>
          <w:u w:val="single"/>
          <w:rtl/>
        </w:rPr>
      </w:pPr>
      <w:r>
        <w:rPr>
          <w:rFonts w:cs="David" w:hint="cs"/>
          <w:b/>
          <w:bCs/>
          <w:sz w:val="28"/>
          <w:szCs w:val="28"/>
          <w:u w:val="single"/>
          <w:rtl/>
        </w:rPr>
        <w:t>מבוא</w:t>
      </w:r>
    </w:p>
    <w:p w14:paraId="5E0AE711" w14:textId="77777777" w:rsidR="003014DF" w:rsidRDefault="003014DF" w:rsidP="003014DF">
      <w:pPr>
        <w:spacing w:line="360" w:lineRule="auto"/>
        <w:ind w:left="360"/>
        <w:jc w:val="both"/>
        <w:rPr>
          <w:rFonts w:cs="David"/>
        </w:rPr>
      </w:pPr>
    </w:p>
    <w:p w14:paraId="2912C2F4" w14:textId="77777777" w:rsidR="009946A6" w:rsidRDefault="000D1CC5" w:rsidP="00501F78">
      <w:pPr>
        <w:numPr>
          <w:ilvl w:val="0"/>
          <w:numId w:val="1"/>
        </w:numPr>
        <w:spacing w:line="360" w:lineRule="auto"/>
        <w:jc w:val="both"/>
        <w:rPr>
          <w:rFonts w:cs="David"/>
        </w:rPr>
      </w:pPr>
      <w:r w:rsidRPr="009946A6">
        <w:rPr>
          <w:rFonts w:cs="David" w:hint="cs"/>
          <w:rtl/>
        </w:rPr>
        <w:t>ה</w:t>
      </w:r>
      <w:r w:rsidR="0008252E" w:rsidRPr="009946A6">
        <w:rPr>
          <w:rFonts w:cs="David" w:hint="cs"/>
          <w:rtl/>
        </w:rPr>
        <w:t>עוררת</w:t>
      </w:r>
      <w:r w:rsidRPr="009946A6">
        <w:rPr>
          <w:rFonts w:cs="David" w:hint="cs"/>
          <w:rtl/>
        </w:rPr>
        <w:t xml:space="preserve"> מחזיק</w:t>
      </w:r>
      <w:r w:rsidR="00A73D7B" w:rsidRPr="009946A6">
        <w:rPr>
          <w:rFonts w:cs="David" w:hint="cs"/>
          <w:rtl/>
        </w:rPr>
        <w:t>ה</w:t>
      </w:r>
      <w:r w:rsidR="00C451A0" w:rsidRPr="009946A6">
        <w:rPr>
          <w:rFonts w:cs="David" w:hint="cs"/>
          <w:rtl/>
        </w:rPr>
        <w:t xml:space="preserve"> </w:t>
      </w:r>
      <w:r w:rsidRPr="009946A6">
        <w:rPr>
          <w:rFonts w:cs="David" w:hint="cs"/>
          <w:rtl/>
        </w:rPr>
        <w:t xml:space="preserve">בנכס המצוי ברחוב </w:t>
      </w:r>
      <w:r w:rsidR="00A73D7B" w:rsidRPr="009946A6">
        <w:rPr>
          <w:rFonts w:cs="David" w:hint="cs"/>
          <w:rtl/>
        </w:rPr>
        <w:t xml:space="preserve">ההגנה </w:t>
      </w:r>
      <w:r w:rsidR="00C451A0" w:rsidRPr="009946A6">
        <w:rPr>
          <w:rFonts w:cs="David" w:hint="cs"/>
          <w:rtl/>
        </w:rPr>
        <w:t xml:space="preserve">52 </w:t>
      </w:r>
      <w:r w:rsidRPr="009946A6">
        <w:rPr>
          <w:rFonts w:cs="David" w:hint="cs"/>
          <w:rtl/>
        </w:rPr>
        <w:t>בגבעתיים.</w:t>
      </w:r>
    </w:p>
    <w:p w14:paraId="28F3F229" w14:textId="77777777" w:rsidR="009946A6" w:rsidRDefault="009946A6" w:rsidP="009946A6">
      <w:pPr>
        <w:spacing w:line="360" w:lineRule="auto"/>
        <w:ind w:left="1080"/>
        <w:jc w:val="both"/>
        <w:rPr>
          <w:rFonts w:cs="David"/>
        </w:rPr>
      </w:pPr>
    </w:p>
    <w:p w14:paraId="40697E78" w14:textId="4FCDE5C1" w:rsidR="00A479CC" w:rsidRPr="009946A6" w:rsidRDefault="009077D2" w:rsidP="00501F78">
      <w:pPr>
        <w:numPr>
          <w:ilvl w:val="0"/>
          <w:numId w:val="1"/>
        </w:numPr>
        <w:spacing w:line="360" w:lineRule="auto"/>
        <w:jc w:val="both"/>
        <w:rPr>
          <w:rFonts w:cs="David"/>
        </w:rPr>
      </w:pPr>
      <w:r w:rsidRPr="009946A6">
        <w:rPr>
          <w:rFonts w:cs="David" w:hint="cs"/>
          <w:rtl/>
        </w:rPr>
        <w:t xml:space="preserve">לעוררת טענות בנושא </w:t>
      </w:r>
      <w:r w:rsidR="00A479CC" w:rsidRPr="009946A6">
        <w:rPr>
          <w:rFonts w:cs="David" w:hint="cs"/>
          <w:rtl/>
        </w:rPr>
        <w:t>גודל הנכס ובנושא הסיווג.</w:t>
      </w:r>
    </w:p>
    <w:p w14:paraId="0F9FC74B" w14:textId="77777777" w:rsidR="003343E2" w:rsidRDefault="003343E2" w:rsidP="003343E2">
      <w:pPr>
        <w:spacing w:line="360" w:lineRule="auto"/>
        <w:ind w:left="1080"/>
        <w:jc w:val="both"/>
        <w:rPr>
          <w:rFonts w:cs="David"/>
        </w:rPr>
      </w:pPr>
    </w:p>
    <w:p w14:paraId="777F22DA" w14:textId="7FAD4AEE" w:rsidR="00B071E2" w:rsidRPr="003343E2" w:rsidRDefault="00B071E2" w:rsidP="00B071E2">
      <w:pPr>
        <w:spacing w:line="360" w:lineRule="auto"/>
        <w:ind w:left="1080"/>
        <w:jc w:val="both"/>
        <w:rPr>
          <w:rFonts w:cs="David"/>
          <w:b/>
          <w:bCs/>
          <w:sz w:val="32"/>
          <w:szCs w:val="32"/>
          <w:u w:val="single"/>
          <w:rtl/>
        </w:rPr>
      </w:pPr>
      <w:r w:rsidRPr="003343E2">
        <w:rPr>
          <w:rFonts w:cs="David" w:hint="cs"/>
          <w:b/>
          <w:bCs/>
          <w:sz w:val="32"/>
          <w:szCs w:val="32"/>
          <w:u w:val="single"/>
          <w:rtl/>
        </w:rPr>
        <w:t xml:space="preserve">טענות העוררת </w:t>
      </w:r>
    </w:p>
    <w:p w14:paraId="36207FA0" w14:textId="77777777" w:rsidR="003343E2" w:rsidRPr="00B071E2" w:rsidRDefault="003343E2" w:rsidP="00B071E2">
      <w:pPr>
        <w:spacing w:line="360" w:lineRule="auto"/>
        <w:ind w:left="1080"/>
        <w:jc w:val="both"/>
        <w:rPr>
          <w:rFonts w:cs="David"/>
          <w:b/>
          <w:bCs/>
          <w:u w:val="single"/>
        </w:rPr>
      </w:pPr>
    </w:p>
    <w:p w14:paraId="38EEB465" w14:textId="197277C9" w:rsidR="006C44DC" w:rsidRDefault="00A479CC" w:rsidP="000D1CC5">
      <w:pPr>
        <w:numPr>
          <w:ilvl w:val="0"/>
          <w:numId w:val="1"/>
        </w:numPr>
        <w:spacing w:line="360" w:lineRule="auto"/>
        <w:jc w:val="both"/>
        <w:rPr>
          <w:rFonts w:cs="David"/>
        </w:rPr>
      </w:pPr>
      <w:proofErr w:type="spellStart"/>
      <w:r w:rsidRPr="00A479CC">
        <w:rPr>
          <w:rFonts w:cs="David" w:hint="cs"/>
          <w:b/>
          <w:bCs/>
          <w:u w:val="single"/>
          <w:rtl/>
        </w:rPr>
        <w:t>לענין</w:t>
      </w:r>
      <w:proofErr w:type="spellEnd"/>
      <w:r w:rsidRPr="00A479CC">
        <w:rPr>
          <w:rFonts w:cs="David" w:hint="cs"/>
          <w:b/>
          <w:bCs/>
          <w:u w:val="single"/>
          <w:rtl/>
        </w:rPr>
        <w:t xml:space="preserve"> גודל הנכס</w:t>
      </w:r>
      <w:r>
        <w:rPr>
          <w:rFonts w:cs="David" w:hint="cs"/>
          <w:rtl/>
        </w:rPr>
        <w:t xml:space="preserve"> - </w:t>
      </w:r>
      <w:r w:rsidR="000D1CC5" w:rsidRPr="00D80398">
        <w:rPr>
          <w:rFonts w:cs="David" w:hint="cs"/>
          <w:rtl/>
        </w:rPr>
        <w:t>ה</w:t>
      </w:r>
      <w:r w:rsidR="0008252E">
        <w:rPr>
          <w:rFonts w:cs="David" w:hint="cs"/>
          <w:rtl/>
        </w:rPr>
        <w:t>עוררת</w:t>
      </w:r>
      <w:r w:rsidR="000D1CC5" w:rsidRPr="00D80398">
        <w:rPr>
          <w:rFonts w:cs="David" w:hint="cs"/>
          <w:rtl/>
        </w:rPr>
        <w:t xml:space="preserve"> </w:t>
      </w:r>
      <w:r w:rsidR="00914FB9">
        <w:rPr>
          <w:rFonts w:cs="David" w:hint="cs"/>
          <w:rtl/>
        </w:rPr>
        <w:t xml:space="preserve">טוענת </w:t>
      </w:r>
      <w:r w:rsidR="000D1CC5" w:rsidRPr="00D80398">
        <w:rPr>
          <w:rFonts w:cs="David" w:hint="cs"/>
          <w:rtl/>
        </w:rPr>
        <w:t xml:space="preserve">כי הוצאה לה שומה המגדילה את גודל הנכס </w:t>
      </w:r>
      <w:r w:rsidR="00914FB9">
        <w:rPr>
          <w:rFonts w:cs="David" w:hint="cs"/>
          <w:rtl/>
        </w:rPr>
        <w:t>על סמך הערכה</w:t>
      </w:r>
      <w:r w:rsidR="006C44DC">
        <w:rPr>
          <w:rFonts w:cs="David" w:hint="cs"/>
          <w:rtl/>
        </w:rPr>
        <w:t xml:space="preserve"> בלבד. </w:t>
      </w:r>
    </w:p>
    <w:p w14:paraId="25131F31" w14:textId="77777777" w:rsidR="00501F78" w:rsidRDefault="00501F78" w:rsidP="00501F78">
      <w:pPr>
        <w:spacing w:line="360" w:lineRule="auto"/>
        <w:ind w:left="1080"/>
        <w:jc w:val="both"/>
        <w:rPr>
          <w:rFonts w:cs="David"/>
        </w:rPr>
      </w:pPr>
    </w:p>
    <w:p w14:paraId="193AC2D1" w14:textId="4B4DF831" w:rsidR="00A56373" w:rsidRPr="00B45D33" w:rsidRDefault="00090C0B" w:rsidP="00A56373">
      <w:pPr>
        <w:numPr>
          <w:ilvl w:val="0"/>
          <w:numId w:val="1"/>
        </w:numPr>
        <w:spacing w:line="360" w:lineRule="auto"/>
        <w:jc w:val="both"/>
        <w:rPr>
          <w:rFonts w:cs="David"/>
          <w:rtl/>
        </w:rPr>
      </w:pPr>
      <w:r>
        <w:rPr>
          <w:rFonts w:cs="David" w:hint="cs"/>
          <w:rtl/>
        </w:rPr>
        <w:t>העוררת טוענת כי "</w:t>
      </w:r>
      <w:r w:rsidR="00A56373" w:rsidRPr="00A56373">
        <w:rPr>
          <w:rFonts w:cs="David" w:hint="cs"/>
          <w:rtl/>
        </w:rPr>
        <w:t>אין למשיב סמכות לבצע חיוב ארנונה על בסיס הערכה,</w:t>
      </w:r>
      <w:r>
        <w:rPr>
          <w:rFonts w:cs="David" w:hint="cs"/>
          <w:rtl/>
        </w:rPr>
        <w:t xml:space="preserve"> </w:t>
      </w:r>
      <w:r w:rsidR="00A56373" w:rsidRPr="00A56373">
        <w:rPr>
          <w:rFonts w:cs="David" w:hint="cs"/>
          <w:rtl/>
        </w:rPr>
        <w:t>לא כל שכן הגדלת שומה כה דרמטית,</w:t>
      </w:r>
      <w:r>
        <w:rPr>
          <w:rFonts w:cs="David" w:hint="cs"/>
          <w:rtl/>
        </w:rPr>
        <w:t xml:space="preserve"> </w:t>
      </w:r>
      <w:r w:rsidR="00A56373" w:rsidRPr="00A56373">
        <w:rPr>
          <w:rFonts w:cs="David" w:hint="cs"/>
          <w:rtl/>
        </w:rPr>
        <w:t xml:space="preserve">הרי הדרך שבה פסע המשיב מחייבת את ביטול </w:t>
      </w:r>
      <w:r w:rsidR="00A56373" w:rsidRPr="00B45D33">
        <w:rPr>
          <w:rFonts w:cs="David" w:hint="cs"/>
          <w:rtl/>
        </w:rPr>
        <w:t>השומה וקבלת הערר על הסף</w:t>
      </w:r>
      <w:r w:rsidRPr="00B45D33">
        <w:rPr>
          <w:rFonts w:cs="David" w:hint="cs"/>
          <w:rtl/>
        </w:rPr>
        <w:t>"</w:t>
      </w:r>
      <w:r w:rsidR="00B45D33" w:rsidRPr="00B45D33">
        <w:rPr>
          <w:rFonts w:cs="David" w:hint="cs"/>
          <w:rtl/>
        </w:rPr>
        <w:t>, כך במקור</w:t>
      </w:r>
      <w:r w:rsidR="00A56373" w:rsidRPr="00B45D33">
        <w:rPr>
          <w:rFonts w:cs="David" w:hint="cs"/>
          <w:rtl/>
        </w:rPr>
        <w:t>.</w:t>
      </w:r>
    </w:p>
    <w:p w14:paraId="49C49EFA" w14:textId="77777777" w:rsidR="00501F78" w:rsidRDefault="00501F78" w:rsidP="00501F78">
      <w:pPr>
        <w:spacing w:line="360" w:lineRule="auto"/>
        <w:ind w:left="1080"/>
        <w:jc w:val="both"/>
        <w:rPr>
          <w:rFonts w:cs="David"/>
        </w:rPr>
      </w:pPr>
    </w:p>
    <w:p w14:paraId="71D83CB7" w14:textId="69A0680D" w:rsidR="00A56373" w:rsidRPr="00A56373" w:rsidRDefault="003F1FB5" w:rsidP="00A56373">
      <w:pPr>
        <w:numPr>
          <w:ilvl w:val="0"/>
          <w:numId w:val="1"/>
        </w:numPr>
        <w:spacing w:line="360" w:lineRule="auto"/>
        <w:jc w:val="both"/>
        <w:rPr>
          <w:rFonts w:cs="David"/>
          <w:rtl/>
        </w:rPr>
      </w:pPr>
      <w:r>
        <w:rPr>
          <w:rFonts w:cs="David" w:hint="cs"/>
          <w:rtl/>
        </w:rPr>
        <w:t xml:space="preserve">עוד מוסיפה העוררת כי </w:t>
      </w:r>
      <w:r w:rsidR="00A56373" w:rsidRPr="00A56373">
        <w:rPr>
          <w:rFonts w:cs="David" w:hint="cs"/>
          <w:rtl/>
        </w:rPr>
        <w:t>גם אם היה למנהל הארנונה סמכות להשית חיוב על בסיס הערכה, הרי שזאת ניתן לבצע רק במקרה של סירוב לביצוע מדידה.</w:t>
      </w:r>
      <w:r>
        <w:rPr>
          <w:rFonts w:cs="David" w:hint="cs"/>
          <w:rtl/>
        </w:rPr>
        <w:t xml:space="preserve"> </w:t>
      </w:r>
      <w:r w:rsidR="000E4BB2">
        <w:rPr>
          <w:rFonts w:cs="David" w:hint="cs"/>
          <w:rtl/>
        </w:rPr>
        <w:t>לטענת העוררת "</w:t>
      </w:r>
      <w:r w:rsidR="00A56373" w:rsidRPr="00A56373">
        <w:rPr>
          <w:rFonts w:cs="David" w:hint="cs"/>
          <w:rtl/>
        </w:rPr>
        <w:t>סירוב כאמור דורש פניה טלפונית לתיאום מדידה או הגעה לנכס ואזהרה חד משמעית  לפיה אם לא תתאפשר מדידה כי אז  יבוצע חיוב לפי הערכה</w:t>
      </w:r>
      <w:r w:rsidR="000E4BB2">
        <w:rPr>
          <w:rFonts w:cs="David" w:hint="cs"/>
          <w:rtl/>
        </w:rPr>
        <w:t>"</w:t>
      </w:r>
      <w:r w:rsidR="00A56373" w:rsidRPr="00A56373">
        <w:rPr>
          <w:rFonts w:cs="David" w:hint="cs"/>
          <w:rtl/>
        </w:rPr>
        <w:t>.</w:t>
      </w:r>
    </w:p>
    <w:p w14:paraId="6A8700BC" w14:textId="77777777" w:rsidR="00501F78" w:rsidRDefault="00501F78" w:rsidP="00501F78">
      <w:pPr>
        <w:spacing w:line="360" w:lineRule="auto"/>
        <w:ind w:left="1080"/>
        <w:jc w:val="both"/>
        <w:rPr>
          <w:rFonts w:cs="David"/>
        </w:rPr>
      </w:pPr>
    </w:p>
    <w:p w14:paraId="0F9E3397" w14:textId="4A83DFE8" w:rsidR="00A56373" w:rsidRPr="00A56373" w:rsidRDefault="000E4BB2" w:rsidP="00A56373">
      <w:pPr>
        <w:numPr>
          <w:ilvl w:val="0"/>
          <w:numId w:val="1"/>
        </w:numPr>
        <w:spacing w:line="360" w:lineRule="auto"/>
        <w:jc w:val="both"/>
        <w:rPr>
          <w:rFonts w:cs="David"/>
          <w:rtl/>
        </w:rPr>
      </w:pPr>
      <w:r>
        <w:rPr>
          <w:rFonts w:cs="David" w:hint="cs"/>
          <w:rtl/>
        </w:rPr>
        <w:t>עוד מוסיפה העוררת כי "</w:t>
      </w:r>
      <w:r w:rsidR="00A56373" w:rsidRPr="00A56373">
        <w:rPr>
          <w:rFonts w:cs="David" w:hint="cs"/>
          <w:rtl/>
        </w:rPr>
        <w:t>רשות שלטונית בכלל,</w:t>
      </w:r>
      <w:r w:rsidR="00FF40E4">
        <w:rPr>
          <w:rFonts w:cs="David" w:hint="cs"/>
          <w:rtl/>
        </w:rPr>
        <w:t xml:space="preserve"> </w:t>
      </w:r>
      <w:r w:rsidR="00A56373" w:rsidRPr="00A56373">
        <w:rPr>
          <w:rFonts w:cs="David" w:hint="cs"/>
          <w:rtl/>
        </w:rPr>
        <w:t>ורשות מקומית בפרט,</w:t>
      </w:r>
      <w:r w:rsidR="00FF40E4">
        <w:rPr>
          <w:rFonts w:cs="David" w:hint="cs"/>
          <w:rtl/>
        </w:rPr>
        <w:t xml:space="preserve"> </w:t>
      </w:r>
      <w:r w:rsidR="00A56373" w:rsidRPr="00A56373">
        <w:rPr>
          <w:rFonts w:cs="David" w:hint="cs"/>
          <w:rtl/>
        </w:rPr>
        <w:t>אינם יכולים להעביר נטל המוטל עליהם על-פי דין לנישומים,</w:t>
      </w:r>
      <w:r w:rsidR="00FF40E4">
        <w:rPr>
          <w:rFonts w:cs="David" w:hint="cs"/>
          <w:rtl/>
        </w:rPr>
        <w:t xml:space="preserve"> </w:t>
      </w:r>
      <w:r w:rsidR="00A56373" w:rsidRPr="00A56373">
        <w:rPr>
          <w:rFonts w:cs="David" w:hint="cs"/>
          <w:rtl/>
        </w:rPr>
        <w:t>בוודאי שלא בדרך של</w:t>
      </w:r>
      <w:r w:rsidR="003342C2">
        <w:rPr>
          <w:rFonts w:cs="David" w:hint="cs"/>
          <w:rtl/>
        </w:rPr>
        <w:t xml:space="preserve"> </w:t>
      </w:r>
      <w:r w:rsidR="00A56373" w:rsidRPr="00A56373">
        <w:rPr>
          <w:rFonts w:cs="David" w:hint="cs"/>
          <w:rtl/>
        </w:rPr>
        <w:t>משלוח מכתב המחייב אותם לבצע פעולה אקטיבית שאין הם חייבים לעשותה באופן כזה על פי חיקוק</w:t>
      </w:r>
      <w:r w:rsidR="00FF40E4">
        <w:rPr>
          <w:rFonts w:cs="David" w:hint="cs"/>
          <w:rtl/>
        </w:rPr>
        <w:t>"</w:t>
      </w:r>
      <w:r w:rsidR="00A56373" w:rsidRPr="00A56373">
        <w:rPr>
          <w:rFonts w:cs="David" w:hint="cs"/>
          <w:rtl/>
        </w:rPr>
        <w:t>.</w:t>
      </w:r>
    </w:p>
    <w:p w14:paraId="432DEC1E" w14:textId="46F2B6A3" w:rsidR="00A56373" w:rsidRPr="00A56373" w:rsidRDefault="00FF40E4" w:rsidP="00A56373">
      <w:pPr>
        <w:numPr>
          <w:ilvl w:val="0"/>
          <w:numId w:val="1"/>
        </w:numPr>
        <w:spacing w:line="360" w:lineRule="auto"/>
        <w:jc w:val="both"/>
        <w:rPr>
          <w:rFonts w:cs="David"/>
          <w:rtl/>
        </w:rPr>
      </w:pPr>
      <w:r>
        <w:rPr>
          <w:rFonts w:cs="David" w:hint="cs"/>
          <w:rtl/>
        </w:rPr>
        <w:t xml:space="preserve">העוררת מבהירה כי, </w:t>
      </w:r>
      <w:r w:rsidR="00A56373" w:rsidRPr="00A56373">
        <w:rPr>
          <w:rFonts w:cs="David" w:hint="cs"/>
          <w:rtl/>
        </w:rPr>
        <w:t xml:space="preserve">למיטב </w:t>
      </w:r>
      <w:r>
        <w:rPr>
          <w:rFonts w:cs="David" w:hint="cs"/>
          <w:rtl/>
        </w:rPr>
        <w:t>ידיעתה, "</w:t>
      </w:r>
      <w:r w:rsidR="00A56373" w:rsidRPr="00A56373">
        <w:rPr>
          <w:rFonts w:cs="David" w:hint="cs"/>
          <w:rtl/>
        </w:rPr>
        <w:t>להתנהלות המשיב בעניין זה אין תקדים ברשויות מקומיות אחרות</w:t>
      </w:r>
      <w:r>
        <w:rPr>
          <w:rFonts w:cs="David" w:hint="cs"/>
          <w:rtl/>
        </w:rPr>
        <w:t xml:space="preserve">". </w:t>
      </w:r>
    </w:p>
    <w:p w14:paraId="64EC788C" w14:textId="77777777" w:rsidR="00501F78" w:rsidRDefault="00501F78" w:rsidP="00501F78">
      <w:pPr>
        <w:spacing w:line="360" w:lineRule="auto"/>
        <w:ind w:left="1080"/>
        <w:jc w:val="both"/>
        <w:rPr>
          <w:rFonts w:cs="David"/>
        </w:rPr>
      </w:pPr>
    </w:p>
    <w:p w14:paraId="3ACB2B1F" w14:textId="58342E99" w:rsidR="00A56373" w:rsidRPr="00A56373" w:rsidRDefault="00E513DA" w:rsidP="00A56373">
      <w:pPr>
        <w:numPr>
          <w:ilvl w:val="0"/>
          <w:numId w:val="1"/>
        </w:numPr>
        <w:spacing w:line="360" w:lineRule="auto"/>
        <w:jc w:val="both"/>
        <w:rPr>
          <w:rFonts w:cs="David"/>
          <w:rtl/>
        </w:rPr>
      </w:pPr>
      <w:r>
        <w:rPr>
          <w:rFonts w:cs="David" w:hint="cs"/>
          <w:rtl/>
        </w:rPr>
        <w:t xml:space="preserve">העוררת מוסיפה וטוענת כי </w:t>
      </w:r>
      <w:r w:rsidR="00A56373" w:rsidRPr="00A56373">
        <w:rPr>
          <w:rFonts w:cs="David" w:hint="cs"/>
          <w:rtl/>
        </w:rPr>
        <w:t xml:space="preserve">אין כל יסוד לטענת המשיב כאילו </w:t>
      </w:r>
      <w:r>
        <w:rPr>
          <w:rFonts w:cs="David" w:hint="cs"/>
          <w:rtl/>
        </w:rPr>
        <w:t xml:space="preserve">היא </w:t>
      </w:r>
      <w:r w:rsidR="00A56373" w:rsidRPr="00A56373">
        <w:rPr>
          <w:rFonts w:cs="David" w:hint="cs"/>
          <w:rtl/>
        </w:rPr>
        <w:t>חייבת  בהמצאת מדידה להפריך את רישומי ו"מדידת" המשיב</w:t>
      </w:r>
      <w:r>
        <w:rPr>
          <w:rFonts w:cs="David" w:hint="cs"/>
          <w:rtl/>
        </w:rPr>
        <w:t xml:space="preserve">. </w:t>
      </w:r>
      <w:r w:rsidR="004035A0">
        <w:rPr>
          <w:rFonts w:cs="David" w:hint="cs"/>
          <w:rtl/>
        </w:rPr>
        <w:t>עמדת העוררת היא, כדבריה, כי "</w:t>
      </w:r>
      <w:r w:rsidR="00A56373" w:rsidRPr="00A56373">
        <w:rPr>
          <w:rFonts w:cs="David" w:hint="cs"/>
          <w:rtl/>
        </w:rPr>
        <w:t>מדובר בגניבת דעת של ממש ובהערכה שהולדתה  בחטא המנסה להעביר את נטל תיאום וביצוע המדידה אל הנישום</w:t>
      </w:r>
      <w:r w:rsidR="004035A0">
        <w:rPr>
          <w:rFonts w:cs="David" w:hint="cs"/>
          <w:rtl/>
        </w:rPr>
        <w:t xml:space="preserve"> </w:t>
      </w:r>
      <w:r w:rsidR="00A56373" w:rsidRPr="00A56373">
        <w:rPr>
          <w:rFonts w:cs="David" w:hint="cs"/>
          <w:rtl/>
        </w:rPr>
        <w:t>,קרי אליי</w:t>
      </w:r>
      <w:r w:rsidR="004035A0">
        <w:rPr>
          <w:rFonts w:cs="David" w:hint="cs"/>
          <w:rtl/>
        </w:rPr>
        <w:t>", כך, במקור.</w:t>
      </w:r>
    </w:p>
    <w:p w14:paraId="5BCEDFC7" w14:textId="77777777" w:rsidR="00501F78" w:rsidRDefault="00501F78" w:rsidP="00501F78">
      <w:pPr>
        <w:spacing w:line="360" w:lineRule="auto"/>
        <w:ind w:left="1080"/>
        <w:jc w:val="both"/>
        <w:rPr>
          <w:rFonts w:cs="David"/>
        </w:rPr>
      </w:pPr>
    </w:p>
    <w:p w14:paraId="73F439B6" w14:textId="5ED99250" w:rsidR="00B23907" w:rsidRDefault="000C0696" w:rsidP="00A56373">
      <w:pPr>
        <w:numPr>
          <w:ilvl w:val="0"/>
          <w:numId w:val="1"/>
        </w:numPr>
        <w:spacing w:line="360" w:lineRule="auto"/>
        <w:jc w:val="both"/>
        <w:rPr>
          <w:rFonts w:cs="David"/>
        </w:rPr>
      </w:pPr>
      <w:r>
        <w:rPr>
          <w:rFonts w:cs="David" w:hint="cs"/>
          <w:rtl/>
        </w:rPr>
        <w:t xml:space="preserve">לעוררת טענות כי </w:t>
      </w:r>
      <w:r w:rsidR="00440929">
        <w:rPr>
          <w:rFonts w:cs="David" w:hint="cs"/>
          <w:rtl/>
        </w:rPr>
        <w:t>"</w:t>
      </w:r>
      <w:r w:rsidR="00A56373" w:rsidRPr="00A56373">
        <w:rPr>
          <w:rFonts w:cs="David" w:hint="cs"/>
          <w:rtl/>
        </w:rPr>
        <w:t>החיוב מבוסס על שיערוך פיקטיבי  ללא מדידות,</w:t>
      </w:r>
      <w:r w:rsidR="00440929">
        <w:rPr>
          <w:rFonts w:cs="David" w:hint="cs"/>
          <w:rtl/>
        </w:rPr>
        <w:t xml:space="preserve"> </w:t>
      </w:r>
      <w:r w:rsidR="00A56373" w:rsidRPr="00A56373">
        <w:rPr>
          <w:rFonts w:cs="David" w:hint="cs"/>
          <w:rtl/>
        </w:rPr>
        <w:t>שבכל מקרה אינן רלבנטיות,</w:t>
      </w:r>
      <w:r w:rsidR="00440929">
        <w:rPr>
          <w:rFonts w:cs="David" w:hint="cs"/>
          <w:rtl/>
        </w:rPr>
        <w:t xml:space="preserve"> </w:t>
      </w:r>
      <w:r w:rsidR="00A56373" w:rsidRPr="00A56373">
        <w:rPr>
          <w:rFonts w:cs="David" w:hint="cs"/>
          <w:rtl/>
        </w:rPr>
        <w:t>בין היתר משום שהן מבוצעות על-ידי גורם שיתכן והוא פועל על-פי תמריצים המהווים הפרטה שלא כדין של סמכות שלטונית</w:t>
      </w:r>
      <w:r w:rsidR="003A732F">
        <w:rPr>
          <w:rFonts w:cs="David" w:hint="cs"/>
          <w:rtl/>
        </w:rPr>
        <w:t>"</w:t>
      </w:r>
      <w:r w:rsidR="00A56373" w:rsidRPr="00A56373">
        <w:rPr>
          <w:rFonts w:cs="David" w:hint="cs"/>
          <w:rtl/>
        </w:rPr>
        <w:t>.</w:t>
      </w:r>
    </w:p>
    <w:p w14:paraId="008678E4" w14:textId="77777777" w:rsidR="00501F78" w:rsidRDefault="00501F78" w:rsidP="00501F78">
      <w:pPr>
        <w:spacing w:line="360" w:lineRule="auto"/>
        <w:ind w:left="1080"/>
        <w:jc w:val="both"/>
        <w:rPr>
          <w:rFonts w:cs="David"/>
        </w:rPr>
      </w:pPr>
    </w:p>
    <w:p w14:paraId="3195B8C1" w14:textId="2A6BB188" w:rsidR="001934D5" w:rsidRDefault="001934D5" w:rsidP="001934D5">
      <w:pPr>
        <w:numPr>
          <w:ilvl w:val="0"/>
          <w:numId w:val="1"/>
        </w:numPr>
        <w:spacing w:line="360" w:lineRule="auto"/>
        <w:jc w:val="both"/>
        <w:rPr>
          <w:rFonts w:cs="David"/>
        </w:rPr>
      </w:pPr>
      <w:r>
        <w:rPr>
          <w:rFonts w:cs="David" w:hint="cs"/>
          <w:rtl/>
        </w:rPr>
        <w:t xml:space="preserve">העוררת הטעימה כי היא אינה </w:t>
      </w:r>
      <w:r w:rsidRPr="00A56373">
        <w:rPr>
          <w:rFonts w:cs="David" w:hint="cs"/>
          <w:rtl/>
        </w:rPr>
        <w:t>מתנגדת למדידה כדין,</w:t>
      </w:r>
      <w:r>
        <w:rPr>
          <w:rFonts w:cs="David" w:hint="cs"/>
          <w:rtl/>
        </w:rPr>
        <w:t xml:space="preserve"> </w:t>
      </w:r>
      <w:r w:rsidRPr="00A56373">
        <w:rPr>
          <w:rFonts w:cs="David" w:hint="cs"/>
          <w:rtl/>
        </w:rPr>
        <w:t>ובלבד שתבוצע על-ידי גורם מוסמך שאין לו אינטרס בהגדלת שטח הנכס.</w:t>
      </w:r>
    </w:p>
    <w:p w14:paraId="25AA3DC1" w14:textId="77777777" w:rsidR="00501F78" w:rsidRDefault="00501F78" w:rsidP="00501F78">
      <w:pPr>
        <w:spacing w:line="360" w:lineRule="auto"/>
        <w:ind w:left="1080"/>
        <w:jc w:val="both"/>
        <w:rPr>
          <w:rFonts w:cs="David"/>
        </w:rPr>
      </w:pPr>
    </w:p>
    <w:p w14:paraId="3706CC08" w14:textId="67E79CF5" w:rsidR="00AE4B76" w:rsidRDefault="00AE4B76" w:rsidP="001934D5">
      <w:pPr>
        <w:numPr>
          <w:ilvl w:val="0"/>
          <w:numId w:val="1"/>
        </w:numPr>
        <w:spacing w:line="360" w:lineRule="auto"/>
        <w:jc w:val="both"/>
        <w:rPr>
          <w:rFonts w:cs="David"/>
        </w:rPr>
      </w:pPr>
      <w:r>
        <w:rPr>
          <w:rFonts w:cs="David" w:hint="cs"/>
          <w:rtl/>
        </w:rPr>
        <w:t>לעוררת טענות גם בדבר חיוב בשטחים משותפים</w:t>
      </w:r>
      <w:r w:rsidR="00F824DC">
        <w:rPr>
          <w:rFonts w:cs="David" w:hint="cs"/>
          <w:rtl/>
        </w:rPr>
        <w:t xml:space="preserve"> וכמו כן טענות </w:t>
      </w:r>
      <w:r w:rsidR="00145B64">
        <w:rPr>
          <w:rFonts w:cs="David" w:hint="cs"/>
          <w:rtl/>
        </w:rPr>
        <w:t>ב</w:t>
      </w:r>
      <w:r w:rsidR="00F824DC">
        <w:rPr>
          <w:rFonts w:cs="David" w:hint="cs"/>
          <w:rtl/>
        </w:rPr>
        <w:t>דבר שיטת המדידה</w:t>
      </w:r>
      <w:r>
        <w:rPr>
          <w:rFonts w:cs="David" w:hint="cs"/>
          <w:rtl/>
        </w:rPr>
        <w:t xml:space="preserve">. </w:t>
      </w:r>
    </w:p>
    <w:p w14:paraId="714638B3" w14:textId="77777777" w:rsidR="00501F78" w:rsidRPr="00501F78" w:rsidRDefault="00501F78" w:rsidP="00501F78">
      <w:pPr>
        <w:spacing w:line="360" w:lineRule="auto"/>
        <w:ind w:left="1080"/>
        <w:jc w:val="both"/>
        <w:rPr>
          <w:rFonts w:cs="David"/>
        </w:rPr>
      </w:pPr>
    </w:p>
    <w:p w14:paraId="0F534D1F" w14:textId="0F0FEEBB" w:rsidR="002703EB" w:rsidRDefault="00A479CC" w:rsidP="00A56373">
      <w:pPr>
        <w:numPr>
          <w:ilvl w:val="0"/>
          <w:numId w:val="1"/>
        </w:numPr>
        <w:spacing w:line="360" w:lineRule="auto"/>
        <w:jc w:val="both"/>
        <w:rPr>
          <w:rFonts w:cs="David"/>
        </w:rPr>
      </w:pPr>
      <w:proofErr w:type="spellStart"/>
      <w:r w:rsidRPr="00B071E2">
        <w:rPr>
          <w:rFonts w:cs="David" w:hint="cs"/>
          <w:b/>
          <w:bCs/>
          <w:u w:val="single"/>
          <w:rtl/>
        </w:rPr>
        <w:t>לענין</w:t>
      </w:r>
      <w:proofErr w:type="spellEnd"/>
      <w:r w:rsidRPr="00B071E2">
        <w:rPr>
          <w:rFonts w:cs="David" w:hint="cs"/>
          <w:b/>
          <w:bCs/>
          <w:u w:val="single"/>
          <w:rtl/>
        </w:rPr>
        <w:t xml:space="preserve"> סיווג הנכס</w:t>
      </w:r>
      <w:r>
        <w:rPr>
          <w:rFonts w:cs="David" w:hint="cs"/>
          <w:rtl/>
        </w:rPr>
        <w:t xml:space="preserve"> </w:t>
      </w:r>
      <w:r>
        <w:rPr>
          <w:rFonts w:cs="David"/>
          <w:rtl/>
        </w:rPr>
        <w:t>–</w:t>
      </w:r>
      <w:r>
        <w:rPr>
          <w:rFonts w:cs="David" w:hint="cs"/>
          <w:rtl/>
        </w:rPr>
        <w:t xml:space="preserve"> לעור</w:t>
      </w:r>
      <w:r w:rsidR="00AC0980">
        <w:rPr>
          <w:rFonts w:cs="David" w:hint="cs"/>
          <w:rtl/>
        </w:rPr>
        <w:t>ר</w:t>
      </w:r>
      <w:r>
        <w:rPr>
          <w:rFonts w:cs="David" w:hint="cs"/>
          <w:rtl/>
        </w:rPr>
        <w:t xml:space="preserve">ת טענות בדבר </w:t>
      </w:r>
      <w:r w:rsidR="00AC0980">
        <w:rPr>
          <w:rFonts w:cs="David" w:hint="cs"/>
          <w:rtl/>
        </w:rPr>
        <w:t xml:space="preserve">סיווג הנכס כ"סיווג א'". </w:t>
      </w:r>
      <w:r w:rsidR="000C1459">
        <w:rPr>
          <w:rFonts w:cs="David" w:hint="cs"/>
          <w:rtl/>
        </w:rPr>
        <w:t xml:space="preserve">לטענתה, </w:t>
      </w:r>
      <w:r w:rsidRPr="00A479CC">
        <w:rPr>
          <w:rFonts w:cs="David"/>
          <w:rtl/>
        </w:rPr>
        <w:t>יש לחייב את  הנכס לפי דירת מגורים בסיווג ב'</w:t>
      </w:r>
      <w:r w:rsidR="00AC0980">
        <w:rPr>
          <w:rFonts w:cs="David" w:hint="cs"/>
          <w:rtl/>
        </w:rPr>
        <w:t xml:space="preserve">. </w:t>
      </w:r>
      <w:r w:rsidR="000C1459">
        <w:rPr>
          <w:rFonts w:cs="David" w:hint="cs"/>
          <w:rtl/>
        </w:rPr>
        <w:t>העוררת טוענת כי "</w:t>
      </w:r>
      <w:r w:rsidRPr="00A479CC">
        <w:rPr>
          <w:rFonts w:cs="David"/>
          <w:rtl/>
        </w:rPr>
        <w:t>בצו הארנונה קיימת הנחת בסיס שגויה,</w:t>
      </w:r>
      <w:r w:rsidR="000C1459">
        <w:rPr>
          <w:rFonts w:cs="David" w:hint="cs"/>
          <w:rtl/>
        </w:rPr>
        <w:t xml:space="preserve"> </w:t>
      </w:r>
      <w:r w:rsidRPr="00A479CC">
        <w:rPr>
          <w:rFonts w:cs="David"/>
          <w:rtl/>
        </w:rPr>
        <w:t>לפיה בניינים בני 4 דירות בלבד נחשבים יוקרתיים ועל כן החיוב למ"ר בהם גבוה יחסית בפועל</w:t>
      </w:r>
      <w:r w:rsidR="002703EB">
        <w:rPr>
          <w:rFonts w:cs="David" w:hint="cs"/>
          <w:rtl/>
        </w:rPr>
        <w:t>,</w:t>
      </w:r>
      <w:r w:rsidRPr="00A479CC">
        <w:rPr>
          <w:rFonts w:cs="David"/>
          <w:rtl/>
        </w:rPr>
        <w:t xml:space="preserve"> בעוד שפעמים רבות המציאות שונה ומדובר במבני שיכון ישנים</w:t>
      </w:r>
      <w:r w:rsidR="002703EB">
        <w:rPr>
          <w:rFonts w:cs="David" w:hint="cs"/>
          <w:rtl/>
        </w:rPr>
        <w:t>".</w:t>
      </w:r>
    </w:p>
    <w:p w14:paraId="6D6295E8" w14:textId="77777777" w:rsidR="00501F78" w:rsidRDefault="00501F78" w:rsidP="00501F78">
      <w:pPr>
        <w:spacing w:line="360" w:lineRule="auto"/>
        <w:ind w:left="1080"/>
        <w:jc w:val="both"/>
        <w:rPr>
          <w:rFonts w:cs="David"/>
        </w:rPr>
      </w:pPr>
    </w:p>
    <w:p w14:paraId="49CFB854" w14:textId="2DFA10C8" w:rsidR="00B14938" w:rsidRDefault="002703EB" w:rsidP="00A56373">
      <w:pPr>
        <w:numPr>
          <w:ilvl w:val="0"/>
          <w:numId w:val="1"/>
        </w:numPr>
        <w:spacing w:line="360" w:lineRule="auto"/>
        <w:jc w:val="both"/>
        <w:rPr>
          <w:rFonts w:cs="David"/>
        </w:rPr>
      </w:pPr>
      <w:r>
        <w:rPr>
          <w:rFonts w:cs="David" w:hint="cs"/>
          <w:rtl/>
        </w:rPr>
        <w:t xml:space="preserve">על כן, לטענת העוררת, </w:t>
      </w:r>
      <w:r w:rsidR="00B14938">
        <w:rPr>
          <w:rFonts w:cs="David" w:hint="cs"/>
          <w:rtl/>
        </w:rPr>
        <w:t>"</w:t>
      </w:r>
      <w:r w:rsidR="00A479CC" w:rsidRPr="00A479CC">
        <w:rPr>
          <w:rFonts w:cs="David"/>
          <w:rtl/>
        </w:rPr>
        <w:t>נוצר מצב אבסורדי,</w:t>
      </w:r>
      <w:r w:rsidR="00B14938">
        <w:rPr>
          <w:rFonts w:cs="David" w:hint="cs"/>
          <w:rtl/>
        </w:rPr>
        <w:t xml:space="preserve"> </w:t>
      </w:r>
      <w:r w:rsidR="00A479CC" w:rsidRPr="00A479CC">
        <w:rPr>
          <w:rFonts w:cs="David"/>
          <w:rtl/>
        </w:rPr>
        <w:t>לפיו דירות חדשות בבניינים רגילים נהנות מתעריף מופחת למ"ר,</w:t>
      </w:r>
      <w:r w:rsidR="00B14938">
        <w:rPr>
          <w:rFonts w:cs="David" w:hint="cs"/>
          <w:rtl/>
        </w:rPr>
        <w:t xml:space="preserve"> </w:t>
      </w:r>
      <w:r w:rsidR="00A479CC" w:rsidRPr="00A479CC">
        <w:rPr>
          <w:rFonts w:cs="David"/>
          <w:rtl/>
        </w:rPr>
        <w:t>לעומת תעריף גבוה יותר למ"ר,</w:t>
      </w:r>
      <w:r w:rsidR="00B14938">
        <w:rPr>
          <w:rFonts w:cs="David" w:hint="cs"/>
          <w:rtl/>
        </w:rPr>
        <w:t xml:space="preserve"> </w:t>
      </w:r>
      <w:r w:rsidR="00A479CC" w:rsidRPr="00A479CC">
        <w:rPr>
          <w:rFonts w:cs="David"/>
          <w:rtl/>
        </w:rPr>
        <w:t>בדירות שיכון אלו.</w:t>
      </w:r>
    </w:p>
    <w:p w14:paraId="63C9681B" w14:textId="77777777" w:rsidR="00501F78" w:rsidRDefault="00501F78" w:rsidP="00501F78">
      <w:pPr>
        <w:spacing w:line="360" w:lineRule="auto"/>
        <w:ind w:left="1080"/>
        <w:jc w:val="both"/>
        <w:rPr>
          <w:rFonts w:cs="David"/>
        </w:rPr>
      </w:pPr>
    </w:p>
    <w:p w14:paraId="0211D5D9" w14:textId="1233554A" w:rsidR="003A732F" w:rsidRDefault="00B14938" w:rsidP="00A56373">
      <w:pPr>
        <w:numPr>
          <w:ilvl w:val="0"/>
          <w:numId w:val="1"/>
        </w:numPr>
        <w:spacing w:line="360" w:lineRule="auto"/>
        <w:jc w:val="both"/>
        <w:rPr>
          <w:rFonts w:cs="David"/>
        </w:rPr>
      </w:pPr>
      <w:r>
        <w:rPr>
          <w:rFonts w:cs="David" w:hint="cs"/>
          <w:rtl/>
        </w:rPr>
        <w:t>לטענת העוררת, החיוב הנ"ל מהווה "</w:t>
      </w:r>
      <w:r w:rsidR="00A479CC" w:rsidRPr="00A479CC">
        <w:rPr>
          <w:rFonts w:cs="David"/>
          <w:rtl/>
        </w:rPr>
        <w:t>פעולה זו שגויה מיסודה,</w:t>
      </w:r>
      <w:r>
        <w:rPr>
          <w:rFonts w:cs="David" w:hint="cs"/>
          <w:rtl/>
        </w:rPr>
        <w:t xml:space="preserve"> </w:t>
      </w:r>
      <w:r w:rsidR="00A479CC" w:rsidRPr="00A479CC">
        <w:rPr>
          <w:rFonts w:cs="David"/>
          <w:rtl/>
        </w:rPr>
        <w:t>בלתי סבירה בעליל והיא נעשית בחוסר סמכות</w:t>
      </w:r>
      <w:r>
        <w:rPr>
          <w:rFonts w:cs="David" w:hint="cs"/>
          <w:rtl/>
        </w:rPr>
        <w:t>"</w:t>
      </w:r>
      <w:r w:rsidR="00A479CC" w:rsidRPr="00A479CC">
        <w:rPr>
          <w:rFonts w:cs="David"/>
          <w:rtl/>
        </w:rPr>
        <w:t>.</w:t>
      </w:r>
    </w:p>
    <w:p w14:paraId="147C4919" w14:textId="77777777" w:rsidR="00613F71" w:rsidRDefault="00613F71" w:rsidP="00613F71">
      <w:pPr>
        <w:pStyle w:val="ae"/>
        <w:rPr>
          <w:rtl/>
        </w:rPr>
      </w:pPr>
    </w:p>
    <w:p w14:paraId="565BA2AA" w14:textId="14561AA4" w:rsidR="00613F71" w:rsidRDefault="00613F71" w:rsidP="00613F71">
      <w:pPr>
        <w:numPr>
          <w:ilvl w:val="0"/>
          <w:numId w:val="1"/>
        </w:numPr>
        <w:spacing w:line="360" w:lineRule="auto"/>
        <w:jc w:val="both"/>
        <w:rPr>
          <w:rFonts w:cs="David"/>
        </w:rPr>
      </w:pPr>
      <w:r>
        <w:rPr>
          <w:rFonts w:cs="David" w:hint="cs"/>
          <w:rtl/>
        </w:rPr>
        <w:t xml:space="preserve">המשיבה העלתה טענות נוספות </w:t>
      </w:r>
      <w:r w:rsidRPr="00613F71">
        <w:rPr>
          <w:rFonts w:cs="David" w:hint="cs"/>
          <w:rtl/>
        </w:rPr>
        <w:t xml:space="preserve">טענות בדבר שיטת המדידה על פי צו הארנונה וכן </w:t>
      </w:r>
      <w:proofErr w:type="spellStart"/>
      <w:r w:rsidRPr="00613F71">
        <w:rPr>
          <w:rFonts w:cs="David" w:hint="cs"/>
          <w:rtl/>
        </w:rPr>
        <w:t>בענין</w:t>
      </w:r>
      <w:proofErr w:type="spellEnd"/>
      <w:r w:rsidRPr="00613F71">
        <w:rPr>
          <w:rFonts w:cs="David" w:hint="cs"/>
          <w:rtl/>
        </w:rPr>
        <w:t xml:space="preserve"> חברת המדידות</w:t>
      </w:r>
      <w:r>
        <w:rPr>
          <w:rFonts w:cs="David" w:hint="cs"/>
          <w:rtl/>
        </w:rPr>
        <w:t>.</w:t>
      </w:r>
    </w:p>
    <w:p w14:paraId="3020F195" w14:textId="02CCC9F3" w:rsidR="003343E2" w:rsidRDefault="0082463A" w:rsidP="003343E2">
      <w:pPr>
        <w:spacing w:line="360" w:lineRule="auto"/>
        <w:ind w:left="1080"/>
        <w:jc w:val="both"/>
        <w:rPr>
          <w:rFonts w:cs="David"/>
          <w:b/>
          <w:bCs/>
          <w:u w:val="single"/>
        </w:rPr>
      </w:pPr>
      <w:r>
        <w:rPr>
          <w:rFonts w:cs="David"/>
          <w:b/>
          <w:bCs/>
          <w:u w:val="single"/>
          <w:rtl/>
        </w:rPr>
        <w:br w:type="page"/>
      </w:r>
    </w:p>
    <w:p w14:paraId="7AC9B062" w14:textId="77777777" w:rsidR="004E7ABF" w:rsidRDefault="004E7ABF" w:rsidP="003343E2">
      <w:pPr>
        <w:spacing w:line="360" w:lineRule="auto"/>
        <w:ind w:left="1080"/>
        <w:jc w:val="both"/>
        <w:rPr>
          <w:rFonts w:cs="David"/>
          <w:b/>
          <w:bCs/>
          <w:sz w:val="32"/>
          <w:szCs w:val="32"/>
          <w:u w:val="single"/>
          <w:rtl/>
        </w:rPr>
      </w:pPr>
    </w:p>
    <w:p w14:paraId="69D98424" w14:textId="5C27B7F9" w:rsidR="001934D5" w:rsidRPr="003343E2" w:rsidRDefault="001934D5" w:rsidP="003343E2">
      <w:pPr>
        <w:spacing w:line="360" w:lineRule="auto"/>
        <w:ind w:left="1080"/>
        <w:jc w:val="both"/>
        <w:rPr>
          <w:rFonts w:cs="David"/>
          <w:b/>
          <w:bCs/>
          <w:sz w:val="32"/>
          <w:szCs w:val="32"/>
          <w:u w:val="single"/>
        </w:rPr>
      </w:pPr>
      <w:r w:rsidRPr="003343E2">
        <w:rPr>
          <w:rFonts w:cs="David" w:hint="cs"/>
          <w:b/>
          <w:bCs/>
          <w:sz w:val="32"/>
          <w:szCs w:val="32"/>
          <w:u w:val="single"/>
          <w:rtl/>
        </w:rPr>
        <w:t xml:space="preserve">טענות המשיב </w:t>
      </w:r>
    </w:p>
    <w:p w14:paraId="608687CA" w14:textId="77777777" w:rsidR="004E7ABF" w:rsidRDefault="004E7ABF" w:rsidP="004E7ABF">
      <w:pPr>
        <w:pStyle w:val="a"/>
        <w:numPr>
          <w:ilvl w:val="0"/>
          <w:numId w:val="0"/>
        </w:numPr>
        <w:tabs>
          <w:tab w:val="left" w:pos="282"/>
        </w:tabs>
        <w:spacing w:line="360" w:lineRule="auto"/>
        <w:ind w:left="1080"/>
      </w:pPr>
    </w:p>
    <w:p w14:paraId="3EE6B54B" w14:textId="1204E309" w:rsidR="0085096A" w:rsidRDefault="0085096A" w:rsidP="000E64C0">
      <w:pPr>
        <w:pStyle w:val="a"/>
        <w:numPr>
          <w:ilvl w:val="0"/>
          <w:numId w:val="1"/>
        </w:numPr>
        <w:tabs>
          <w:tab w:val="left" w:pos="282"/>
        </w:tabs>
        <w:spacing w:line="360" w:lineRule="auto"/>
      </w:pPr>
      <w:r>
        <w:rPr>
          <w:rFonts w:hint="cs"/>
          <w:rtl/>
        </w:rPr>
        <w:t xml:space="preserve">המשיב בתשובתו מתייחס לנושא גודל הנכס והמדידה שבוצעה. </w:t>
      </w:r>
    </w:p>
    <w:p w14:paraId="1CEA3333" w14:textId="18348D23" w:rsidR="000E64C0" w:rsidRDefault="0085000E" w:rsidP="000E64C0">
      <w:pPr>
        <w:pStyle w:val="a"/>
        <w:numPr>
          <w:ilvl w:val="0"/>
          <w:numId w:val="1"/>
        </w:numPr>
        <w:tabs>
          <w:tab w:val="left" w:pos="282"/>
        </w:tabs>
        <w:spacing w:line="360" w:lineRule="auto"/>
      </w:pPr>
      <w:r>
        <w:rPr>
          <w:rFonts w:hint="cs"/>
          <w:rtl/>
        </w:rPr>
        <w:t xml:space="preserve">המשיב טוען כי </w:t>
      </w:r>
      <w:r w:rsidR="000E64C0">
        <w:rPr>
          <w:rFonts w:hint="cs"/>
          <w:rtl/>
        </w:rPr>
        <w:t>ביום 14.4.15 ניתן פסק די</w:t>
      </w:r>
      <w:r>
        <w:rPr>
          <w:rFonts w:hint="cs"/>
          <w:rtl/>
        </w:rPr>
        <w:t xml:space="preserve">ן </w:t>
      </w:r>
      <w:r w:rsidR="000E64C0">
        <w:rPr>
          <w:rFonts w:hint="cs"/>
          <w:rtl/>
        </w:rPr>
        <w:t xml:space="preserve">של בית המשפט העליון </w:t>
      </w:r>
      <w:r>
        <w:rPr>
          <w:rFonts w:hint="cs"/>
          <w:rtl/>
        </w:rPr>
        <w:t xml:space="preserve">שחייב את הרשויות המקומיות לבצע מדידות מחודשות לנכסים בתחומם וזאת עד ליום 1.1.18. </w:t>
      </w:r>
      <w:r w:rsidR="000E64C0">
        <w:rPr>
          <w:rFonts w:hint="cs"/>
          <w:rtl/>
        </w:rPr>
        <w:t>(רע"א 2453/13 </w:t>
      </w:r>
      <w:r w:rsidR="000E64C0" w:rsidRPr="005D6EC5">
        <w:rPr>
          <w:rFonts w:hint="cs"/>
          <w:b/>
          <w:bCs/>
          <w:rtl/>
        </w:rPr>
        <w:t>אלעזר עמר נ' עיריית חדרה</w:t>
      </w:r>
      <w:r w:rsidR="000E64C0">
        <w:rPr>
          <w:rFonts w:hint="cs"/>
          <w:rtl/>
        </w:rPr>
        <w:t xml:space="preserve">) </w:t>
      </w:r>
    </w:p>
    <w:p w14:paraId="5FBAF3E8" w14:textId="6FC5F011" w:rsidR="000E64C0" w:rsidRDefault="0085000E" w:rsidP="000E64C0">
      <w:pPr>
        <w:pStyle w:val="a"/>
        <w:numPr>
          <w:ilvl w:val="0"/>
          <w:numId w:val="1"/>
        </w:numPr>
        <w:tabs>
          <w:tab w:val="left" w:pos="282"/>
        </w:tabs>
        <w:spacing w:line="360" w:lineRule="auto"/>
      </w:pPr>
      <w:r>
        <w:rPr>
          <w:rFonts w:hint="cs"/>
          <w:rtl/>
        </w:rPr>
        <w:t xml:space="preserve">המשיב טוען כי </w:t>
      </w:r>
      <w:r w:rsidR="000E64C0">
        <w:rPr>
          <w:rFonts w:hint="cs"/>
          <w:rtl/>
        </w:rPr>
        <w:t xml:space="preserve">העירייה פנתה לכלל בעלי הנכסים באופן מדורג לצורך ביצוע מדידות מחודשות. </w:t>
      </w:r>
      <w:r w:rsidR="00281F47">
        <w:rPr>
          <w:rFonts w:hint="cs"/>
          <w:rtl/>
        </w:rPr>
        <w:t xml:space="preserve">המשיב מציין כי </w:t>
      </w:r>
      <w:r w:rsidR="000E64C0">
        <w:rPr>
          <w:rFonts w:hint="cs"/>
          <w:rtl/>
        </w:rPr>
        <w:t xml:space="preserve">רוב תושבי העיר שיתפו פעולה עם פרויקט המדידה </w:t>
      </w:r>
      <w:proofErr w:type="spellStart"/>
      <w:r w:rsidR="000E64C0">
        <w:rPr>
          <w:rFonts w:hint="cs"/>
          <w:rtl/>
        </w:rPr>
        <w:t>וא</w:t>
      </w:r>
      <w:proofErr w:type="spellEnd"/>
      <w:r w:rsidR="0082463A">
        <w:rPr>
          <w:rFonts w:hint="cs"/>
          <w:rtl/>
        </w:rPr>
        <w:t xml:space="preserve"> </w:t>
      </w:r>
      <w:r w:rsidR="000E64C0">
        <w:rPr>
          <w:rFonts w:hint="cs"/>
          <w:rtl/>
        </w:rPr>
        <w:t>פשר לחברות המדידה מטעם העירייה לבצע את עבודתם נאמנה.</w:t>
      </w:r>
    </w:p>
    <w:p w14:paraId="222BF6F5" w14:textId="3557CB0B" w:rsidR="000E64C0" w:rsidRDefault="003B4C68" w:rsidP="000E64C0">
      <w:pPr>
        <w:pStyle w:val="ae"/>
        <w:numPr>
          <w:ilvl w:val="0"/>
          <w:numId w:val="1"/>
        </w:numPr>
        <w:spacing w:before="120" w:after="120" w:line="360" w:lineRule="auto"/>
        <w:contextualSpacing w:val="0"/>
        <w:jc w:val="both"/>
      </w:pPr>
      <w:r>
        <w:rPr>
          <w:rFonts w:hint="cs"/>
          <w:rtl/>
        </w:rPr>
        <w:t xml:space="preserve">לטענת המשיב, </w:t>
      </w:r>
      <w:r w:rsidR="000E64C0">
        <w:rPr>
          <w:rFonts w:hint="cs"/>
          <w:rtl/>
        </w:rPr>
        <w:t>טענותיה של העוררת לא ברורות ומהוות תרתי דסתרי, שכן בתשובת המשיב להשגת העוררת בסעיף 6 נכתב כי העוררת יכולה לתאם מדידה חדשה בנוכחותה. ככל ויתגלו ממצאים שונים מאלו הקיימים כיום, תעדכן העירייה את שומת הארנונה של העוררת ליום הוצאתה, וכמובן דמי המדידה החוזרת לא יגבו.</w:t>
      </w:r>
    </w:p>
    <w:p w14:paraId="0BADC928" w14:textId="0673A832" w:rsidR="000E64C0" w:rsidRDefault="000E64C0" w:rsidP="000E64C0">
      <w:pPr>
        <w:pStyle w:val="ae"/>
        <w:numPr>
          <w:ilvl w:val="0"/>
          <w:numId w:val="1"/>
        </w:numPr>
        <w:spacing w:before="120" w:after="120" w:line="360" w:lineRule="auto"/>
        <w:contextualSpacing w:val="0"/>
        <w:jc w:val="both"/>
      </w:pPr>
      <w:r>
        <w:rPr>
          <w:rFonts w:hint="cs"/>
          <w:rtl/>
        </w:rPr>
        <w:t>העוררת טוענת ארוכות לכשלים בנוגע לתיאום המדידה, ועם זאת בחרה שלא לתאם מדידה בנוכחותה אלא בחרה להגיש ערר. כמו כן, אף בקשת העוררת למדידה ע"י גורם מוסמך "שאין לו אינטרס" תמוהה</w:t>
      </w:r>
      <w:r w:rsidR="00617C65">
        <w:rPr>
          <w:rFonts w:hint="cs"/>
          <w:rtl/>
        </w:rPr>
        <w:t>,</w:t>
      </w:r>
      <w:r>
        <w:rPr>
          <w:rFonts w:hint="cs"/>
          <w:rtl/>
        </w:rPr>
        <w:t xml:space="preserve"> שכן העוררת לא הציגה כל מדידה מקצועית אחרת מטעמה שיש בה כדי לסתור את ממצאי העירייה.</w:t>
      </w:r>
    </w:p>
    <w:p w14:paraId="250AC732" w14:textId="77F74205" w:rsidR="000E64C0" w:rsidRDefault="003B4C68" w:rsidP="000E64C0">
      <w:pPr>
        <w:pStyle w:val="ae"/>
        <w:numPr>
          <w:ilvl w:val="0"/>
          <w:numId w:val="1"/>
        </w:numPr>
        <w:spacing w:before="120" w:after="120" w:line="360" w:lineRule="auto"/>
        <w:contextualSpacing w:val="0"/>
        <w:jc w:val="both"/>
      </w:pPr>
      <w:r>
        <w:rPr>
          <w:rFonts w:hint="cs"/>
          <w:rtl/>
        </w:rPr>
        <w:t xml:space="preserve">המשיב </w:t>
      </w:r>
      <w:r w:rsidR="000E64C0">
        <w:rPr>
          <w:rFonts w:hint="cs"/>
          <w:rtl/>
        </w:rPr>
        <w:t>דחה את טענות העוררת בדבר אינטרס אישי וניגוד עניינים של חברות המדידה.</w:t>
      </w:r>
    </w:p>
    <w:p w14:paraId="29887D77" w14:textId="211BB8F0" w:rsidR="000E64C0" w:rsidRDefault="005B3425" w:rsidP="000E64C0">
      <w:pPr>
        <w:pStyle w:val="ae"/>
        <w:numPr>
          <w:ilvl w:val="0"/>
          <w:numId w:val="1"/>
        </w:numPr>
        <w:spacing w:before="120" w:after="120" w:line="360" w:lineRule="auto"/>
        <w:contextualSpacing w:val="0"/>
        <w:jc w:val="both"/>
      </w:pPr>
      <w:bookmarkStart w:id="0" w:name="_Hlk47036893"/>
      <w:r>
        <w:rPr>
          <w:rFonts w:hint="cs"/>
          <w:rtl/>
        </w:rPr>
        <w:t xml:space="preserve">לגבי </w:t>
      </w:r>
      <w:r w:rsidR="000E64C0">
        <w:rPr>
          <w:rFonts w:hint="cs"/>
          <w:rtl/>
        </w:rPr>
        <w:t xml:space="preserve"> טענת העוררת לעניין שטחים משותפים </w:t>
      </w:r>
      <w:r>
        <w:rPr>
          <w:rtl/>
        </w:rPr>
        <w:t>–</w:t>
      </w:r>
      <w:r>
        <w:rPr>
          <w:rFonts w:hint="cs"/>
          <w:rtl/>
        </w:rPr>
        <w:t xml:space="preserve"> טוען המשיב כי הטענה אינה נכונה</w:t>
      </w:r>
      <w:r w:rsidR="000E64C0">
        <w:rPr>
          <w:rFonts w:hint="cs"/>
          <w:rtl/>
        </w:rPr>
        <w:t xml:space="preserve">. </w:t>
      </w:r>
      <w:r w:rsidR="002C4E9A">
        <w:rPr>
          <w:rFonts w:hint="cs"/>
          <w:rtl/>
        </w:rPr>
        <w:t xml:space="preserve">המשיב מבהיר כי </w:t>
      </w:r>
      <w:r w:rsidR="000E64C0">
        <w:rPr>
          <w:rFonts w:hint="cs"/>
          <w:rtl/>
        </w:rPr>
        <w:t>העוררת לא חויבה בשטחים משותפים ולא ברור מה הבסיס העובדתי לטענה זו.</w:t>
      </w:r>
    </w:p>
    <w:bookmarkEnd w:id="0"/>
    <w:p w14:paraId="175959F6" w14:textId="217F2C24" w:rsidR="001A1514" w:rsidRDefault="001A1514" w:rsidP="001A1514">
      <w:pPr>
        <w:pStyle w:val="ae"/>
        <w:numPr>
          <w:ilvl w:val="0"/>
          <w:numId w:val="1"/>
        </w:numPr>
        <w:spacing w:before="120" w:after="120" w:line="360" w:lineRule="auto"/>
        <w:contextualSpacing w:val="0"/>
        <w:jc w:val="both"/>
      </w:pPr>
      <w:proofErr w:type="spellStart"/>
      <w:r w:rsidRPr="00617C65">
        <w:rPr>
          <w:rFonts w:hint="cs"/>
          <w:b/>
          <w:bCs/>
          <w:u w:val="single"/>
          <w:rtl/>
        </w:rPr>
        <w:t>לענין</w:t>
      </w:r>
      <w:proofErr w:type="spellEnd"/>
      <w:r w:rsidRPr="00617C65">
        <w:rPr>
          <w:rFonts w:hint="cs"/>
          <w:b/>
          <w:bCs/>
          <w:u w:val="single"/>
          <w:rtl/>
        </w:rPr>
        <w:t xml:space="preserve"> סיווג הנכס</w:t>
      </w:r>
      <w:r>
        <w:rPr>
          <w:rFonts w:hint="cs"/>
          <w:rtl/>
        </w:rPr>
        <w:t xml:space="preserve"> </w:t>
      </w:r>
      <w:r>
        <w:rPr>
          <w:rtl/>
        </w:rPr>
        <w:t>–</w:t>
      </w:r>
      <w:r>
        <w:rPr>
          <w:rFonts w:hint="cs"/>
          <w:rtl/>
        </w:rPr>
        <w:t xml:space="preserve"> </w:t>
      </w:r>
      <w:r w:rsidR="00C4503D">
        <w:rPr>
          <w:rFonts w:hint="cs"/>
          <w:rtl/>
        </w:rPr>
        <w:t xml:space="preserve">המשיב מטעים כי </w:t>
      </w:r>
      <w:r>
        <w:rPr>
          <w:rtl/>
        </w:rPr>
        <w:t>בהתאם למידע המצוי בידי העירייה, הנכס הינו נכס בן 2 קומות ו-4 יחידות דיור. לפיכך הסיווג הנכון והמתאים לו בהתאם לצו הינו סיווג א'.</w:t>
      </w:r>
    </w:p>
    <w:p w14:paraId="26CD1B00" w14:textId="25919223" w:rsidR="004E7ABF" w:rsidRDefault="004E7ABF" w:rsidP="004E7ABF">
      <w:pPr>
        <w:pStyle w:val="ae"/>
        <w:spacing w:before="120" w:after="120" w:line="360" w:lineRule="auto"/>
        <w:ind w:left="1080"/>
        <w:contextualSpacing w:val="0"/>
        <w:jc w:val="both"/>
        <w:rPr>
          <w:b/>
          <w:bCs/>
          <w:u w:val="single"/>
          <w:rtl/>
        </w:rPr>
      </w:pPr>
    </w:p>
    <w:p w14:paraId="5CA018F6" w14:textId="77777777" w:rsidR="004E7ABF" w:rsidRDefault="004E7ABF" w:rsidP="004E7ABF">
      <w:pPr>
        <w:pStyle w:val="ae"/>
        <w:spacing w:before="120" w:after="120" w:line="360" w:lineRule="auto"/>
        <w:ind w:left="1080"/>
        <w:contextualSpacing w:val="0"/>
        <w:jc w:val="both"/>
        <w:rPr>
          <w:rtl/>
        </w:rPr>
      </w:pPr>
    </w:p>
    <w:p w14:paraId="2E2681F7" w14:textId="056C31BE" w:rsidR="00737A43" w:rsidRDefault="00C4503D" w:rsidP="001A1514">
      <w:pPr>
        <w:pStyle w:val="ae"/>
        <w:numPr>
          <w:ilvl w:val="0"/>
          <w:numId w:val="1"/>
        </w:numPr>
        <w:spacing w:before="120" w:after="120" w:line="360" w:lineRule="auto"/>
        <w:jc w:val="both"/>
      </w:pPr>
      <w:r>
        <w:rPr>
          <w:rFonts w:hint="cs"/>
          <w:rtl/>
        </w:rPr>
        <w:t>המשיב טוען כי לא הובאה כ</w:t>
      </w:r>
      <w:r w:rsidR="00341638">
        <w:rPr>
          <w:rFonts w:hint="cs"/>
          <w:rtl/>
        </w:rPr>
        <w:t>ל</w:t>
      </w:r>
      <w:r>
        <w:rPr>
          <w:rFonts w:hint="cs"/>
          <w:rtl/>
        </w:rPr>
        <w:t xml:space="preserve"> ראיה </w:t>
      </w:r>
      <w:r w:rsidR="001A1514">
        <w:rPr>
          <w:rtl/>
        </w:rPr>
        <w:t xml:space="preserve">בנוגע ל"הנחה" הקיימת בצו הארנונה לגבי סיווג בניינים. </w:t>
      </w:r>
      <w:r w:rsidR="00341638">
        <w:rPr>
          <w:rFonts w:hint="cs"/>
          <w:rtl/>
        </w:rPr>
        <w:t>המשיב הדגי</w:t>
      </w:r>
      <w:r w:rsidR="001A1514">
        <w:rPr>
          <w:rtl/>
        </w:rPr>
        <w:t xml:space="preserve">ש כי </w:t>
      </w:r>
      <w:r w:rsidR="00737A43">
        <w:rPr>
          <w:rFonts w:hint="cs"/>
          <w:rtl/>
        </w:rPr>
        <w:t>מדובר ב</w:t>
      </w:r>
      <w:r w:rsidR="001A1514">
        <w:rPr>
          <w:rtl/>
        </w:rPr>
        <w:t>תקיפה ישירה של צו הארנונה</w:t>
      </w:r>
      <w:r w:rsidR="00737A43">
        <w:rPr>
          <w:rFonts w:hint="cs"/>
          <w:rtl/>
        </w:rPr>
        <w:t xml:space="preserve"> ותקיפה שכזו </w:t>
      </w:r>
      <w:r w:rsidR="001A1514">
        <w:rPr>
          <w:rtl/>
        </w:rPr>
        <w:t xml:space="preserve"> איננה בסמכות ועדת הערר הנכבדה</w:t>
      </w:r>
      <w:r w:rsidR="00737A43">
        <w:rPr>
          <w:rFonts w:hint="cs"/>
          <w:rtl/>
        </w:rPr>
        <w:t xml:space="preserve">. </w:t>
      </w:r>
      <w:r w:rsidR="00613F71">
        <w:rPr>
          <w:rFonts w:hint="cs"/>
          <w:rtl/>
        </w:rPr>
        <w:t xml:space="preserve"> גם לגבי הטענות הנוספות, טענות בדבר שיטת המדידה על פי צו הארנונה וכן </w:t>
      </w:r>
      <w:proofErr w:type="spellStart"/>
      <w:r w:rsidR="00613F71">
        <w:rPr>
          <w:rFonts w:hint="cs"/>
          <w:rtl/>
        </w:rPr>
        <w:t>בענין</w:t>
      </w:r>
      <w:proofErr w:type="spellEnd"/>
      <w:r w:rsidR="00613F71">
        <w:rPr>
          <w:rFonts w:hint="cs"/>
          <w:rtl/>
        </w:rPr>
        <w:t xml:space="preserve"> חברת המדידות </w:t>
      </w:r>
      <w:r w:rsidR="00613F71">
        <w:rPr>
          <w:rtl/>
        </w:rPr>
        <w:t>–</w:t>
      </w:r>
      <w:r w:rsidR="00613F71">
        <w:rPr>
          <w:rFonts w:hint="cs"/>
          <w:rtl/>
        </w:rPr>
        <w:t xml:space="preserve"> טען המשיב כי הדבר חורג מסמכותה של הוועדה. </w:t>
      </w:r>
    </w:p>
    <w:p w14:paraId="22BCFDED" w14:textId="77777777" w:rsidR="0082463A" w:rsidRDefault="0082463A" w:rsidP="0082463A">
      <w:pPr>
        <w:pStyle w:val="ae"/>
        <w:spacing w:before="120" w:after="120" w:line="360" w:lineRule="auto"/>
        <w:ind w:left="1080"/>
        <w:jc w:val="both"/>
      </w:pPr>
    </w:p>
    <w:p w14:paraId="3B2F7DB4" w14:textId="0E69432E" w:rsidR="001A1514" w:rsidRDefault="00E94C72" w:rsidP="001A1514">
      <w:pPr>
        <w:pStyle w:val="ae"/>
        <w:numPr>
          <w:ilvl w:val="0"/>
          <w:numId w:val="1"/>
        </w:numPr>
        <w:spacing w:before="120" w:after="120" w:line="360" w:lineRule="auto"/>
        <w:jc w:val="both"/>
        <w:rPr>
          <w:rtl/>
        </w:rPr>
      </w:pPr>
      <w:r>
        <w:rPr>
          <w:rFonts w:hint="cs"/>
          <w:rtl/>
        </w:rPr>
        <w:t xml:space="preserve">המשיב מוסיף ומבהיר כי </w:t>
      </w:r>
      <w:r w:rsidR="001A1514">
        <w:rPr>
          <w:rtl/>
        </w:rPr>
        <w:t>הנכס סווג בסיווג א' מאז ומתמיד, ולכן טענתה של העוררת בעניין זה לא ברורה.</w:t>
      </w:r>
    </w:p>
    <w:p w14:paraId="3309CBA6" w14:textId="26809325" w:rsidR="003014DF" w:rsidRDefault="003014DF" w:rsidP="00A77870">
      <w:pPr>
        <w:spacing w:line="360" w:lineRule="auto"/>
        <w:ind w:left="360"/>
        <w:jc w:val="both"/>
        <w:rPr>
          <w:rFonts w:cs="David"/>
          <w:rtl/>
        </w:rPr>
      </w:pPr>
    </w:p>
    <w:p w14:paraId="2D99A984" w14:textId="77777777" w:rsidR="004E7ABF" w:rsidRPr="00D80398" w:rsidRDefault="004E7ABF" w:rsidP="00A77870">
      <w:pPr>
        <w:spacing w:line="360" w:lineRule="auto"/>
        <w:ind w:left="360"/>
        <w:jc w:val="both"/>
        <w:rPr>
          <w:rFonts w:cs="David"/>
          <w:rtl/>
        </w:rPr>
      </w:pPr>
    </w:p>
    <w:p w14:paraId="19D66212" w14:textId="77777777" w:rsidR="00A77870" w:rsidRPr="0082463A" w:rsidRDefault="00A77870" w:rsidP="00A77870">
      <w:pPr>
        <w:spacing w:line="360" w:lineRule="auto"/>
        <w:ind w:left="720" w:firstLine="360"/>
        <w:jc w:val="both"/>
        <w:rPr>
          <w:rFonts w:cs="David"/>
          <w:b/>
          <w:bCs/>
          <w:sz w:val="32"/>
          <w:szCs w:val="32"/>
          <w:u w:val="single"/>
        </w:rPr>
      </w:pPr>
      <w:r w:rsidRPr="0082463A">
        <w:rPr>
          <w:rFonts w:cs="David" w:hint="cs"/>
          <w:b/>
          <w:bCs/>
          <w:sz w:val="32"/>
          <w:szCs w:val="32"/>
          <w:u w:val="single"/>
          <w:rtl/>
        </w:rPr>
        <w:t>תיאור ההליכים</w:t>
      </w:r>
    </w:p>
    <w:p w14:paraId="507CF9F2" w14:textId="77777777" w:rsidR="00495528" w:rsidRDefault="00495528" w:rsidP="00495528">
      <w:pPr>
        <w:spacing w:line="360" w:lineRule="auto"/>
        <w:ind w:left="360"/>
        <w:jc w:val="both"/>
        <w:rPr>
          <w:rFonts w:cs="David"/>
        </w:rPr>
      </w:pPr>
    </w:p>
    <w:p w14:paraId="7F6BA356" w14:textId="4F7B2CB2" w:rsidR="00AA3399" w:rsidRDefault="004F31B6" w:rsidP="00A77870">
      <w:pPr>
        <w:numPr>
          <w:ilvl w:val="0"/>
          <w:numId w:val="1"/>
        </w:numPr>
        <w:spacing w:line="360" w:lineRule="auto"/>
        <w:jc w:val="both"/>
        <w:rPr>
          <w:rFonts w:cs="David"/>
        </w:rPr>
      </w:pPr>
      <w:r w:rsidRPr="00190A44">
        <w:rPr>
          <w:rFonts w:cs="David" w:hint="cs"/>
          <w:rtl/>
        </w:rPr>
        <w:t>בתצהיר שהגישה העוררת (</w:t>
      </w:r>
      <w:r w:rsidR="00096444" w:rsidRPr="00190A44">
        <w:rPr>
          <w:rFonts w:cs="David" w:hint="cs"/>
          <w:rtl/>
        </w:rPr>
        <w:t xml:space="preserve">אגב, </w:t>
      </w:r>
      <w:r w:rsidR="007B33E3" w:rsidRPr="00190A44">
        <w:rPr>
          <w:rFonts w:cs="David" w:hint="cs"/>
          <w:rtl/>
        </w:rPr>
        <w:t xml:space="preserve">בתחילה הוגש תצהיר </w:t>
      </w:r>
      <w:r w:rsidR="00096444" w:rsidRPr="00190A44">
        <w:rPr>
          <w:rFonts w:cs="David" w:hint="cs"/>
          <w:rtl/>
        </w:rPr>
        <w:t xml:space="preserve">לא </w:t>
      </w:r>
      <w:r w:rsidR="00A573C3" w:rsidRPr="00190A44">
        <w:rPr>
          <w:rFonts w:cs="David" w:hint="cs"/>
          <w:rtl/>
        </w:rPr>
        <w:t xml:space="preserve">חתום </w:t>
      </w:r>
      <w:r w:rsidR="00096444" w:rsidRPr="00190A44">
        <w:rPr>
          <w:rFonts w:cs="David" w:hint="cs"/>
          <w:rtl/>
        </w:rPr>
        <w:t xml:space="preserve">ולא </w:t>
      </w:r>
      <w:r w:rsidR="00A573C3" w:rsidRPr="00190A44">
        <w:rPr>
          <w:rFonts w:cs="David" w:hint="cs"/>
          <w:rtl/>
        </w:rPr>
        <w:t>מאומת</w:t>
      </w:r>
      <w:r w:rsidR="007B33E3" w:rsidRPr="00190A44">
        <w:rPr>
          <w:rFonts w:cs="David" w:hint="cs"/>
          <w:rtl/>
        </w:rPr>
        <w:t xml:space="preserve"> ורק בשלב מאוחר יותר </w:t>
      </w:r>
      <w:r w:rsidR="00C65D60" w:rsidRPr="00190A44">
        <w:rPr>
          <w:rFonts w:cs="David" w:hint="cs"/>
          <w:rtl/>
        </w:rPr>
        <w:t>הגישה העוררת תצהיר חתום ומאומת</w:t>
      </w:r>
      <w:r w:rsidR="00096444" w:rsidRPr="00190A44">
        <w:rPr>
          <w:rFonts w:cs="David" w:hint="cs"/>
          <w:rtl/>
        </w:rPr>
        <w:t xml:space="preserve">) </w:t>
      </w:r>
      <w:r w:rsidR="00A573C3" w:rsidRPr="00190A44">
        <w:rPr>
          <w:rFonts w:cs="David" w:hint="cs"/>
          <w:rtl/>
        </w:rPr>
        <w:t>חזרה העוררת על טענותיה</w:t>
      </w:r>
      <w:r w:rsidR="00A573C3">
        <w:rPr>
          <w:rFonts w:cs="David" w:hint="cs"/>
          <w:rtl/>
        </w:rPr>
        <w:t xml:space="preserve"> שבערר, </w:t>
      </w:r>
      <w:r w:rsidR="00AA3399">
        <w:rPr>
          <w:rFonts w:cs="David" w:hint="cs"/>
          <w:rtl/>
        </w:rPr>
        <w:t xml:space="preserve">ולא הגיבה כלל על טענות המשיב. </w:t>
      </w:r>
    </w:p>
    <w:p w14:paraId="64EBEA19" w14:textId="77777777" w:rsidR="00C623E9" w:rsidRDefault="00C623E9" w:rsidP="00C623E9">
      <w:pPr>
        <w:spacing w:line="360" w:lineRule="auto"/>
        <w:ind w:left="1080"/>
        <w:jc w:val="both"/>
        <w:rPr>
          <w:rFonts w:cs="David"/>
        </w:rPr>
      </w:pPr>
    </w:p>
    <w:p w14:paraId="0E1938E7" w14:textId="5DD23945" w:rsidR="000645C0" w:rsidRDefault="00AA3399" w:rsidP="00A77870">
      <w:pPr>
        <w:numPr>
          <w:ilvl w:val="0"/>
          <w:numId w:val="1"/>
        </w:numPr>
        <w:spacing w:line="360" w:lineRule="auto"/>
        <w:jc w:val="both"/>
        <w:rPr>
          <w:rFonts w:cs="David"/>
        </w:rPr>
      </w:pPr>
      <w:r>
        <w:rPr>
          <w:rFonts w:cs="David" w:hint="cs"/>
          <w:rtl/>
        </w:rPr>
        <w:t xml:space="preserve">מן הראוי לציין כי העוררת אומנם אינה מיוצגת אך היא העידה על עצמה, בדיון מיום 21.7.2020, כי היא </w:t>
      </w:r>
      <w:r w:rsidR="000645C0">
        <w:rPr>
          <w:rFonts w:cs="David" w:hint="cs"/>
          <w:rtl/>
        </w:rPr>
        <w:t xml:space="preserve">סיימה לימודי משפטים וכי השכלתה היא "מעל האדם הסביר". </w:t>
      </w:r>
    </w:p>
    <w:p w14:paraId="6B4781E8" w14:textId="77777777" w:rsidR="00C623E9" w:rsidRDefault="00C623E9" w:rsidP="00C623E9">
      <w:pPr>
        <w:spacing w:line="360" w:lineRule="auto"/>
        <w:ind w:left="1080"/>
        <w:jc w:val="both"/>
        <w:rPr>
          <w:rFonts w:cs="David"/>
        </w:rPr>
      </w:pPr>
    </w:p>
    <w:p w14:paraId="3097B9E4" w14:textId="783739B1" w:rsidR="00493839" w:rsidRPr="006B2FC3" w:rsidRDefault="006B2FC3" w:rsidP="00A77870">
      <w:pPr>
        <w:numPr>
          <w:ilvl w:val="0"/>
          <w:numId w:val="1"/>
        </w:numPr>
        <w:spacing w:line="360" w:lineRule="auto"/>
        <w:jc w:val="both"/>
        <w:rPr>
          <w:rFonts w:cs="David"/>
        </w:rPr>
      </w:pPr>
      <w:r w:rsidRPr="006B2FC3">
        <w:rPr>
          <w:rFonts w:cs="David" w:hint="cs"/>
          <w:rtl/>
        </w:rPr>
        <w:t xml:space="preserve">העוררת לא צירפה מדידה מטעמה ואף לא עשתה כן בהמשך, למרות שהובאה בפניה עמדת המשיב כי באם ברצונה לסתור את נתוני המדידה </w:t>
      </w:r>
      <w:r w:rsidRPr="006B2FC3">
        <w:rPr>
          <w:rFonts w:cs="David"/>
          <w:rtl/>
        </w:rPr>
        <w:t>–</w:t>
      </w:r>
      <w:r w:rsidRPr="006B2FC3">
        <w:rPr>
          <w:rFonts w:cs="David" w:hint="cs"/>
          <w:rtl/>
        </w:rPr>
        <w:t xml:space="preserve"> עליה להביא נתוני מדידה נגדית. </w:t>
      </w:r>
      <w:r w:rsidR="000645C0" w:rsidRPr="006B2FC3">
        <w:rPr>
          <w:rFonts w:cs="David" w:hint="cs"/>
          <w:rtl/>
        </w:rPr>
        <w:t>העוררת</w:t>
      </w:r>
      <w:r w:rsidR="003C4BC5">
        <w:rPr>
          <w:rFonts w:cs="David" w:hint="cs"/>
          <w:rtl/>
        </w:rPr>
        <w:t xml:space="preserve">, כאמור, </w:t>
      </w:r>
      <w:r w:rsidR="000645C0" w:rsidRPr="006B2FC3">
        <w:rPr>
          <w:rFonts w:cs="David" w:hint="cs"/>
          <w:rtl/>
        </w:rPr>
        <w:t xml:space="preserve">לא "הרימה את הכפפה" </w:t>
      </w:r>
      <w:r w:rsidR="00CD14B3" w:rsidRPr="006B2FC3">
        <w:rPr>
          <w:rFonts w:cs="David" w:hint="cs"/>
          <w:rtl/>
        </w:rPr>
        <w:t xml:space="preserve">ולא הגישה מדידה מטעמה ואף לא התייחסה </w:t>
      </w:r>
      <w:r w:rsidR="00493839" w:rsidRPr="006B2FC3">
        <w:rPr>
          <w:rFonts w:cs="David" w:hint="cs"/>
          <w:rtl/>
        </w:rPr>
        <w:t>ל</w:t>
      </w:r>
      <w:r w:rsidR="00501F78" w:rsidRPr="006B2FC3">
        <w:rPr>
          <w:rFonts w:cs="David" w:hint="cs"/>
          <w:rtl/>
        </w:rPr>
        <w:t xml:space="preserve">טענות המובאות </w:t>
      </w:r>
      <w:r w:rsidR="001E40ED" w:rsidRPr="006B2FC3">
        <w:rPr>
          <w:rFonts w:cs="David" w:hint="cs"/>
          <w:rtl/>
        </w:rPr>
        <w:t>ב</w:t>
      </w:r>
      <w:r w:rsidR="00493839" w:rsidRPr="006B2FC3">
        <w:rPr>
          <w:rFonts w:cs="David" w:hint="cs"/>
          <w:rtl/>
        </w:rPr>
        <w:t xml:space="preserve">תצהירו של המשיב. </w:t>
      </w:r>
      <w:r w:rsidR="001E40ED" w:rsidRPr="006B2FC3">
        <w:rPr>
          <w:rFonts w:cs="David" w:hint="cs"/>
          <w:rtl/>
        </w:rPr>
        <w:t xml:space="preserve">יצוין כי </w:t>
      </w:r>
      <w:r w:rsidR="00127BE8" w:rsidRPr="006B2FC3">
        <w:rPr>
          <w:rFonts w:cs="David" w:hint="cs"/>
          <w:rtl/>
        </w:rPr>
        <w:t xml:space="preserve">בדיון שנערך בתיק ביום 26.12.2017, נרשם מפיה של העוררת" </w:t>
      </w:r>
      <w:r w:rsidR="00EC11AA" w:rsidRPr="006B2FC3">
        <w:rPr>
          <w:rFonts w:cs="David" w:hint="cs"/>
          <w:rtl/>
        </w:rPr>
        <w:t xml:space="preserve">"אני מבקשת לבצע מדידה של הדירה באמצעות מודד מוסמך מטעמי". כאמור, מדידה כזו לא נעשתה מעולם ולא הוגשה לתיק. </w:t>
      </w:r>
      <w:r w:rsidR="00127BE8" w:rsidRPr="006B2FC3">
        <w:rPr>
          <w:rFonts w:cs="David" w:hint="cs"/>
          <w:rtl/>
        </w:rPr>
        <w:t xml:space="preserve"> </w:t>
      </w:r>
    </w:p>
    <w:p w14:paraId="529A75C4" w14:textId="77777777" w:rsidR="00C623E9" w:rsidRDefault="00C623E9" w:rsidP="00C623E9">
      <w:pPr>
        <w:spacing w:line="360" w:lineRule="auto"/>
        <w:ind w:left="1080"/>
        <w:jc w:val="both"/>
        <w:rPr>
          <w:rFonts w:cs="David"/>
        </w:rPr>
      </w:pPr>
    </w:p>
    <w:p w14:paraId="138BFDB3" w14:textId="314F847D" w:rsidR="009B1AAC" w:rsidRDefault="00493839" w:rsidP="00A77870">
      <w:pPr>
        <w:numPr>
          <w:ilvl w:val="0"/>
          <w:numId w:val="1"/>
        </w:numPr>
        <w:spacing w:line="360" w:lineRule="auto"/>
        <w:jc w:val="both"/>
        <w:rPr>
          <w:rFonts w:cs="David"/>
        </w:rPr>
      </w:pPr>
      <w:r>
        <w:rPr>
          <w:rFonts w:cs="David" w:hint="cs"/>
          <w:rtl/>
        </w:rPr>
        <w:t xml:space="preserve">בדיון מיום 21.7.2020 לא שבה העוררת על בקשתה </w:t>
      </w:r>
      <w:r w:rsidR="00A573C3">
        <w:rPr>
          <w:rFonts w:cs="David" w:hint="cs"/>
          <w:rtl/>
        </w:rPr>
        <w:t xml:space="preserve">כאילו </w:t>
      </w:r>
      <w:r w:rsidR="00794782">
        <w:rPr>
          <w:rFonts w:cs="David" w:hint="cs"/>
          <w:rtl/>
        </w:rPr>
        <w:t>עליה להמציא מדידה</w:t>
      </w:r>
      <w:r w:rsidR="009B1AAC">
        <w:rPr>
          <w:rFonts w:cs="David" w:hint="cs"/>
          <w:rtl/>
        </w:rPr>
        <w:t xml:space="preserve">. כמו כן, העוררת הודיעה כי אין בכוונתה לחקור את המצהיר או את המודד. </w:t>
      </w:r>
    </w:p>
    <w:p w14:paraId="6FBB048C" w14:textId="77777777" w:rsidR="00C623E9" w:rsidRDefault="00C623E9" w:rsidP="00C623E9">
      <w:pPr>
        <w:spacing w:line="360" w:lineRule="auto"/>
        <w:ind w:left="1080"/>
        <w:jc w:val="both"/>
        <w:rPr>
          <w:rFonts w:cs="David"/>
        </w:rPr>
      </w:pPr>
    </w:p>
    <w:p w14:paraId="28BA10B7" w14:textId="0AA4CF8D" w:rsidR="00350AD0" w:rsidRDefault="009B1AAC" w:rsidP="00A77870">
      <w:pPr>
        <w:numPr>
          <w:ilvl w:val="0"/>
          <w:numId w:val="1"/>
        </w:numPr>
        <w:spacing w:line="360" w:lineRule="auto"/>
        <w:jc w:val="both"/>
        <w:rPr>
          <w:rFonts w:cs="David"/>
        </w:rPr>
      </w:pPr>
      <w:r>
        <w:rPr>
          <w:rFonts w:cs="David" w:hint="cs"/>
          <w:rtl/>
        </w:rPr>
        <w:t xml:space="preserve">על כן הסכימו הצדדים כי הוועדה תקבל את </w:t>
      </w:r>
      <w:r w:rsidR="00350AD0">
        <w:rPr>
          <w:rFonts w:cs="David" w:hint="cs"/>
          <w:rtl/>
        </w:rPr>
        <w:t xml:space="preserve">החלטתה על סמך החומר שבתיק. </w:t>
      </w:r>
    </w:p>
    <w:p w14:paraId="5C99DB35" w14:textId="7B08F3D5" w:rsidR="00350AD0" w:rsidRDefault="004E7ABF" w:rsidP="00C041B9">
      <w:pPr>
        <w:spacing w:line="360" w:lineRule="auto"/>
        <w:ind w:left="360" w:firstLine="720"/>
        <w:jc w:val="both"/>
        <w:rPr>
          <w:rFonts w:cs="David"/>
          <w:b/>
          <w:bCs/>
          <w:sz w:val="32"/>
          <w:szCs w:val="32"/>
          <w:u w:val="single"/>
          <w:rtl/>
        </w:rPr>
      </w:pPr>
      <w:r>
        <w:rPr>
          <w:rFonts w:cs="David"/>
          <w:b/>
          <w:bCs/>
          <w:sz w:val="32"/>
          <w:szCs w:val="32"/>
          <w:u w:val="single"/>
          <w:rtl/>
        </w:rPr>
        <w:br w:type="page"/>
      </w:r>
    </w:p>
    <w:p w14:paraId="25B60905" w14:textId="738F5417" w:rsidR="00A77870" w:rsidRPr="00D80398" w:rsidRDefault="00A77870" w:rsidP="00C041B9">
      <w:pPr>
        <w:spacing w:line="360" w:lineRule="auto"/>
        <w:ind w:left="360" w:firstLine="720"/>
        <w:jc w:val="both"/>
        <w:rPr>
          <w:rFonts w:cs="David"/>
          <w:b/>
          <w:bCs/>
          <w:sz w:val="32"/>
          <w:szCs w:val="32"/>
          <w:u w:val="single"/>
          <w:rtl/>
        </w:rPr>
      </w:pPr>
      <w:r w:rsidRPr="00D80398">
        <w:rPr>
          <w:rFonts w:cs="David" w:hint="cs"/>
          <w:b/>
          <w:bCs/>
          <w:sz w:val="32"/>
          <w:szCs w:val="32"/>
          <w:u w:val="single"/>
          <w:rtl/>
        </w:rPr>
        <w:t xml:space="preserve">דיון והכרעה </w:t>
      </w:r>
    </w:p>
    <w:p w14:paraId="5384CFE5" w14:textId="77777777" w:rsidR="00A77870" w:rsidRPr="00D80398" w:rsidRDefault="00A77870" w:rsidP="00A77870">
      <w:pPr>
        <w:spacing w:line="360" w:lineRule="auto"/>
        <w:jc w:val="both"/>
        <w:rPr>
          <w:rFonts w:cs="David"/>
          <w:b/>
          <w:bCs/>
          <w:u w:val="single"/>
          <w:rtl/>
        </w:rPr>
      </w:pPr>
    </w:p>
    <w:p w14:paraId="536301E9" w14:textId="799AEB43" w:rsidR="006B4690" w:rsidRDefault="006B4690" w:rsidP="006B4690">
      <w:pPr>
        <w:pStyle w:val="ae"/>
        <w:numPr>
          <w:ilvl w:val="0"/>
          <w:numId w:val="1"/>
        </w:numPr>
        <w:spacing w:before="120" w:after="120" w:line="360" w:lineRule="auto"/>
        <w:contextualSpacing w:val="0"/>
        <w:jc w:val="both"/>
      </w:pPr>
      <w:r>
        <w:rPr>
          <w:rFonts w:hint="cs"/>
          <w:rtl/>
        </w:rPr>
        <w:t xml:space="preserve">חובתה של הרשות המקומית לגבות מס אמת (ראה </w:t>
      </w:r>
      <w:proofErr w:type="spellStart"/>
      <w:r>
        <w:rPr>
          <w:rFonts w:hint="cs"/>
          <w:rtl/>
        </w:rPr>
        <w:t>לענין</w:t>
      </w:r>
      <w:proofErr w:type="spellEnd"/>
      <w:r>
        <w:rPr>
          <w:rFonts w:hint="cs"/>
          <w:rtl/>
        </w:rPr>
        <w:t xml:space="preserve"> זה: </w:t>
      </w:r>
      <w:hyperlink r:id="rId7" w:history="1">
        <w:r w:rsidRPr="00435988">
          <w:rPr>
            <w:rFonts w:hint="cs"/>
            <w:rtl/>
          </w:rPr>
          <w:t>ע"א 1527/97</w:t>
        </w:r>
      </w:hyperlink>
      <w:r w:rsidRPr="00435988">
        <w:rPr>
          <w:rFonts w:hint="cs"/>
          <w:rtl/>
        </w:rPr>
        <w:t xml:space="preserve"> </w:t>
      </w:r>
      <w:proofErr w:type="spellStart"/>
      <w:r w:rsidRPr="00435988">
        <w:rPr>
          <w:rFonts w:hint="cs"/>
          <w:b/>
          <w:bCs/>
          <w:rtl/>
        </w:rPr>
        <w:t>אינטרבילדינג</w:t>
      </w:r>
      <w:proofErr w:type="spellEnd"/>
      <w:r w:rsidRPr="00435988">
        <w:rPr>
          <w:rFonts w:hint="cs"/>
          <w:b/>
          <w:bCs/>
          <w:rtl/>
        </w:rPr>
        <w:t xml:space="preserve"> חברה </w:t>
      </w:r>
      <w:proofErr w:type="spellStart"/>
      <w:r w:rsidRPr="00435988">
        <w:rPr>
          <w:rFonts w:hint="cs"/>
          <w:b/>
          <w:bCs/>
          <w:rtl/>
        </w:rPr>
        <w:t>לבנין</w:t>
      </w:r>
      <w:proofErr w:type="spellEnd"/>
      <w:r w:rsidRPr="00435988">
        <w:rPr>
          <w:rFonts w:hint="cs"/>
          <w:b/>
          <w:bCs/>
          <w:rtl/>
        </w:rPr>
        <w:t xml:space="preserve"> בע"מ נ' פקיד שומה ת"א</w:t>
      </w:r>
      <w:r w:rsidRPr="00435988">
        <w:rPr>
          <w:rFonts w:hint="cs"/>
          <w:rtl/>
        </w:rPr>
        <w:t xml:space="preserve"> 1</w:t>
      </w:r>
      <w:r>
        <w:rPr>
          <w:rFonts w:hint="cs"/>
          <w:rtl/>
        </w:rPr>
        <w:t xml:space="preserve">, </w:t>
      </w:r>
      <w:r w:rsidRPr="00435988">
        <w:rPr>
          <w:rFonts w:hint="cs"/>
          <w:rtl/>
        </w:rPr>
        <w:t>בעמ' 719</w:t>
      </w:r>
      <w:r>
        <w:rPr>
          <w:rFonts w:hint="cs"/>
          <w:rtl/>
        </w:rPr>
        <w:t xml:space="preserve">; </w:t>
      </w:r>
      <w:hyperlink r:id="rId8" w:history="1">
        <w:r w:rsidRPr="007E761B">
          <w:rPr>
            <w:rFonts w:hint="cs"/>
            <w:rtl/>
          </w:rPr>
          <w:t>ע"א 6726/05</w:t>
        </w:r>
      </w:hyperlink>
      <w:r w:rsidRPr="007E761B">
        <w:rPr>
          <w:rFonts w:hint="cs"/>
          <w:rtl/>
        </w:rPr>
        <w:t xml:space="preserve"> </w:t>
      </w:r>
      <w:proofErr w:type="spellStart"/>
      <w:r w:rsidRPr="007E761B">
        <w:rPr>
          <w:rFonts w:hint="cs"/>
          <w:b/>
          <w:bCs/>
          <w:rtl/>
        </w:rPr>
        <w:t>הידרולה</w:t>
      </w:r>
      <w:proofErr w:type="spellEnd"/>
      <w:r w:rsidRPr="007E761B">
        <w:rPr>
          <w:rFonts w:hint="cs"/>
          <w:b/>
          <w:bCs/>
          <w:rtl/>
        </w:rPr>
        <w:t xml:space="preserve"> בע"מ נ' פקיד שומה ת"א 1</w:t>
      </w:r>
      <w:r w:rsidRPr="007E761B">
        <w:rPr>
          <w:rFonts w:hint="cs"/>
          <w:rtl/>
        </w:rPr>
        <w:t xml:space="preserve">, פסקה י"א (2008) </w:t>
      </w:r>
      <w:r>
        <w:rPr>
          <w:rFonts w:hint="cs"/>
          <w:rtl/>
        </w:rPr>
        <w:t>[פורסם בנבו]</w:t>
      </w:r>
      <w:r w:rsidRPr="007E761B">
        <w:rPr>
          <w:rFonts w:hint="cs"/>
          <w:rtl/>
        </w:rPr>
        <w:t xml:space="preserve">; </w:t>
      </w:r>
      <w:hyperlink r:id="rId9" w:history="1">
        <w:r w:rsidRPr="007E761B">
          <w:rPr>
            <w:rFonts w:hint="cs"/>
            <w:rtl/>
          </w:rPr>
          <w:t>ע"א 4157/13</w:t>
        </w:r>
      </w:hyperlink>
      <w:r w:rsidRPr="007E761B">
        <w:rPr>
          <w:rFonts w:hint="cs"/>
          <w:rtl/>
        </w:rPr>
        <w:t xml:space="preserve"> </w:t>
      </w:r>
      <w:r w:rsidRPr="007E761B">
        <w:rPr>
          <w:rFonts w:hint="cs"/>
          <w:b/>
          <w:bCs/>
          <w:rtl/>
        </w:rPr>
        <w:t>דמארי נ' פקיד שומה רחובות, פסקה כ"ג</w:t>
      </w:r>
      <w:r w:rsidRPr="007E761B">
        <w:rPr>
          <w:rFonts w:hint="cs"/>
          <w:rtl/>
        </w:rPr>
        <w:t xml:space="preserve"> (2015)</w:t>
      </w:r>
      <w:r w:rsidR="00C7160A">
        <w:rPr>
          <w:rFonts w:hint="cs"/>
          <w:rtl/>
        </w:rPr>
        <w:t xml:space="preserve"> </w:t>
      </w:r>
      <w:r>
        <w:rPr>
          <w:rFonts w:hint="cs"/>
          <w:rtl/>
        </w:rPr>
        <w:t>[פורסם בנבו]</w:t>
      </w:r>
      <w:r w:rsidRPr="007E761B">
        <w:rPr>
          <w:rFonts w:hint="cs"/>
          <w:rtl/>
        </w:rPr>
        <w:t>)</w:t>
      </w:r>
      <w:r>
        <w:rPr>
          <w:rFonts w:hint="cs"/>
          <w:rtl/>
        </w:rPr>
        <w:t xml:space="preserve">. </w:t>
      </w:r>
    </w:p>
    <w:p w14:paraId="3F6A7A2D" w14:textId="77777777" w:rsidR="006F2E67" w:rsidRDefault="006F2E67" w:rsidP="006F2E67">
      <w:pPr>
        <w:spacing w:line="360" w:lineRule="auto"/>
        <w:ind w:left="1080"/>
        <w:jc w:val="both"/>
        <w:rPr>
          <w:rFonts w:cs="David"/>
        </w:rPr>
      </w:pPr>
    </w:p>
    <w:p w14:paraId="29285E2F" w14:textId="7DE11834" w:rsidR="00BD778E" w:rsidRPr="00D80398" w:rsidRDefault="00BD778E" w:rsidP="00F317E5">
      <w:pPr>
        <w:numPr>
          <w:ilvl w:val="0"/>
          <w:numId w:val="1"/>
        </w:numPr>
        <w:spacing w:line="360" w:lineRule="auto"/>
        <w:jc w:val="both"/>
        <w:rPr>
          <w:rFonts w:cs="David"/>
        </w:rPr>
      </w:pPr>
      <w:r w:rsidRPr="00D80398">
        <w:rPr>
          <w:rFonts w:cs="David" w:hint="cs"/>
          <w:rtl/>
        </w:rPr>
        <w:t>מנהל הארנונה הוציא שומה המסתמכת על מדידה שנעשתה על ידו.</w:t>
      </w:r>
      <w:r w:rsidR="00F317E5">
        <w:rPr>
          <w:rFonts w:cs="David" w:hint="cs"/>
          <w:rtl/>
        </w:rPr>
        <w:t xml:space="preserve"> </w:t>
      </w:r>
      <w:r w:rsidRPr="00D80398">
        <w:rPr>
          <w:rFonts w:cs="David" w:hint="cs"/>
          <w:rtl/>
        </w:rPr>
        <w:t>ה</w:t>
      </w:r>
      <w:r w:rsidR="0008252E">
        <w:rPr>
          <w:rFonts w:cs="David" w:hint="cs"/>
          <w:rtl/>
        </w:rPr>
        <w:t>עוררת</w:t>
      </w:r>
      <w:r w:rsidRPr="00D80398">
        <w:rPr>
          <w:rFonts w:cs="David" w:hint="cs"/>
          <w:rtl/>
        </w:rPr>
        <w:t xml:space="preserve"> לא צירפ</w:t>
      </w:r>
      <w:r w:rsidR="00350AD0">
        <w:rPr>
          <w:rFonts w:cs="David" w:hint="cs"/>
          <w:rtl/>
        </w:rPr>
        <w:t xml:space="preserve">ה </w:t>
      </w:r>
      <w:r w:rsidRPr="00D80398">
        <w:rPr>
          <w:rFonts w:cs="David" w:hint="cs"/>
          <w:rtl/>
        </w:rPr>
        <w:t>כל מדידה מטעמם.</w:t>
      </w:r>
    </w:p>
    <w:p w14:paraId="476AF9BB" w14:textId="77777777" w:rsidR="006F2E67" w:rsidRDefault="006F2E67" w:rsidP="006F2E67">
      <w:pPr>
        <w:pStyle w:val="a9"/>
        <w:spacing w:line="360" w:lineRule="auto"/>
        <w:ind w:left="1080" w:firstLine="0"/>
        <w:jc w:val="both"/>
        <w:rPr>
          <w:sz w:val="24"/>
        </w:rPr>
      </w:pPr>
    </w:p>
    <w:p w14:paraId="6A9A2621" w14:textId="72DDF0C7" w:rsidR="00547DBB" w:rsidRPr="00D80398" w:rsidRDefault="00547DBB" w:rsidP="009572F2">
      <w:pPr>
        <w:pStyle w:val="a9"/>
        <w:numPr>
          <w:ilvl w:val="0"/>
          <w:numId w:val="1"/>
        </w:numPr>
        <w:spacing w:line="360" w:lineRule="auto"/>
        <w:jc w:val="both"/>
        <w:rPr>
          <w:sz w:val="24"/>
        </w:rPr>
      </w:pPr>
      <w:r w:rsidRPr="00D80398">
        <w:rPr>
          <w:rFonts w:hint="cs"/>
          <w:sz w:val="24"/>
          <w:rtl/>
        </w:rPr>
        <w:t xml:space="preserve">כלל  ידוע הוא  בדיני ראיות כי נטל השכנוע להוכחת טענה מסוימת מוטל על הצד שהטענה מקדמת את ענייניו במשפט ... על בעל הדין לשכנע את בית המשפט בקיום אותן עובדות בהן מותנית התוצאה המשפטית הנובעת מן ההלכה שהוא מסתמך עליה" (ר' </w:t>
      </w:r>
      <w:hyperlink r:id="rId10" w:history="1">
        <w:r w:rsidRPr="00D80398">
          <w:rPr>
            <w:sz w:val="24"/>
            <w:rtl/>
          </w:rPr>
          <w:t>ע"א 1845/90</w:t>
        </w:r>
      </w:hyperlink>
      <w:r w:rsidRPr="00D80398">
        <w:rPr>
          <w:rFonts w:hint="cs"/>
          <w:sz w:val="24"/>
          <w:rtl/>
        </w:rPr>
        <w:t xml:space="preserve"> </w:t>
      </w:r>
      <w:r w:rsidRPr="00D80398">
        <w:rPr>
          <w:rFonts w:hint="cs"/>
          <w:b/>
          <w:bCs/>
          <w:sz w:val="24"/>
          <w:rtl/>
        </w:rPr>
        <w:t>סיני נ' מגדל</w:t>
      </w:r>
      <w:r w:rsidRPr="00D80398">
        <w:rPr>
          <w:rFonts w:hint="cs"/>
          <w:sz w:val="24"/>
          <w:rtl/>
        </w:rPr>
        <w:t xml:space="preserve">, פד"י מ"ז(5) 681, עמ' 682). </w:t>
      </w:r>
    </w:p>
    <w:p w14:paraId="5EA5B881" w14:textId="77777777" w:rsidR="006F2E67" w:rsidRDefault="006F2E67" w:rsidP="006F2E67">
      <w:pPr>
        <w:pStyle w:val="a9"/>
        <w:spacing w:line="360" w:lineRule="auto"/>
        <w:ind w:left="1080" w:firstLine="0"/>
        <w:jc w:val="both"/>
      </w:pPr>
    </w:p>
    <w:p w14:paraId="36B5A524" w14:textId="70894EEC" w:rsidR="00547DBB" w:rsidRPr="00D80398" w:rsidRDefault="00547DBB" w:rsidP="00D80398">
      <w:pPr>
        <w:pStyle w:val="a9"/>
        <w:numPr>
          <w:ilvl w:val="0"/>
          <w:numId w:val="1"/>
        </w:numPr>
        <w:spacing w:line="360" w:lineRule="auto"/>
        <w:jc w:val="both"/>
      </w:pPr>
      <w:r w:rsidRPr="00D80398">
        <w:rPr>
          <w:rFonts w:hint="cs"/>
          <w:rtl/>
        </w:rPr>
        <w:t xml:space="preserve">על הוועדה לבחון את מדידות הצדדים או לקבל מדידה מוסכמת כדי להכריע בדבר </w:t>
      </w:r>
      <w:r w:rsidR="00D80398" w:rsidRPr="00D80398">
        <w:rPr>
          <w:rFonts w:hint="cs"/>
          <w:rtl/>
        </w:rPr>
        <w:t>שטח הנכס</w:t>
      </w:r>
      <w:r w:rsidRPr="00D80398">
        <w:rPr>
          <w:rFonts w:hint="cs"/>
          <w:rtl/>
        </w:rPr>
        <w:t>. הדברים פשוטים וברורים.</w:t>
      </w:r>
    </w:p>
    <w:p w14:paraId="138147AC" w14:textId="77777777" w:rsidR="006F2E67" w:rsidRDefault="006F2E67" w:rsidP="006F2E67">
      <w:pPr>
        <w:pStyle w:val="a9"/>
        <w:spacing w:line="360" w:lineRule="auto"/>
        <w:ind w:left="1080" w:firstLine="0"/>
        <w:jc w:val="both"/>
      </w:pPr>
    </w:p>
    <w:p w14:paraId="718D3828" w14:textId="59FEF772" w:rsidR="00547DBB" w:rsidRPr="00D80398" w:rsidRDefault="00547DBB" w:rsidP="00804B0F">
      <w:pPr>
        <w:pStyle w:val="a9"/>
        <w:numPr>
          <w:ilvl w:val="0"/>
          <w:numId w:val="1"/>
        </w:numPr>
        <w:spacing w:line="360" w:lineRule="auto"/>
        <w:jc w:val="both"/>
      </w:pPr>
      <w:proofErr w:type="spellStart"/>
      <w:r w:rsidRPr="00D80398">
        <w:rPr>
          <w:rFonts w:hint="cs"/>
          <w:rtl/>
        </w:rPr>
        <w:t>לענין</w:t>
      </w:r>
      <w:proofErr w:type="spellEnd"/>
      <w:r w:rsidRPr="00D80398">
        <w:rPr>
          <w:rFonts w:hint="cs"/>
          <w:rtl/>
        </w:rPr>
        <w:t xml:space="preserve"> זה יכול</w:t>
      </w:r>
      <w:r w:rsidR="00824B23">
        <w:rPr>
          <w:rFonts w:hint="cs"/>
          <w:rtl/>
        </w:rPr>
        <w:t>ה</w:t>
      </w:r>
      <w:r w:rsidR="00D80398" w:rsidRPr="00D80398">
        <w:rPr>
          <w:rFonts w:hint="cs"/>
          <w:rtl/>
        </w:rPr>
        <w:t xml:space="preserve"> </w:t>
      </w:r>
      <w:proofErr w:type="spellStart"/>
      <w:r w:rsidRPr="00D80398">
        <w:rPr>
          <w:rFonts w:hint="cs"/>
          <w:rtl/>
        </w:rPr>
        <w:t>הי</w:t>
      </w:r>
      <w:r w:rsidR="00824B23">
        <w:rPr>
          <w:rFonts w:hint="cs"/>
          <w:rtl/>
        </w:rPr>
        <w:t>תה</w:t>
      </w:r>
      <w:proofErr w:type="spellEnd"/>
      <w:r w:rsidR="00824B23">
        <w:rPr>
          <w:rFonts w:hint="cs"/>
          <w:rtl/>
        </w:rPr>
        <w:t xml:space="preserve"> </w:t>
      </w:r>
      <w:r w:rsidR="00D80398" w:rsidRPr="00D80398">
        <w:rPr>
          <w:rFonts w:hint="cs"/>
          <w:rtl/>
        </w:rPr>
        <w:t>ה</w:t>
      </w:r>
      <w:r w:rsidR="0008252E">
        <w:rPr>
          <w:rFonts w:hint="cs"/>
          <w:rtl/>
        </w:rPr>
        <w:t>עוררת</w:t>
      </w:r>
      <w:r w:rsidRPr="00D80398">
        <w:rPr>
          <w:rFonts w:hint="cs"/>
          <w:rtl/>
        </w:rPr>
        <w:t xml:space="preserve"> </w:t>
      </w:r>
      <w:r w:rsidR="00D80398" w:rsidRPr="00D80398">
        <w:rPr>
          <w:rFonts w:hint="cs"/>
          <w:rtl/>
        </w:rPr>
        <w:t xml:space="preserve">להביא </w:t>
      </w:r>
      <w:r w:rsidRPr="00D80398">
        <w:rPr>
          <w:rFonts w:hint="cs"/>
          <w:rtl/>
        </w:rPr>
        <w:t xml:space="preserve">ראיה ניצחת בדבר </w:t>
      </w:r>
      <w:r w:rsidR="00D80398" w:rsidRPr="00D80398">
        <w:rPr>
          <w:rFonts w:hint="cs"/>
          <w:rtl/>
        </w:rPr>
        <w:t>שטח הנכס</w:t>
      </w:r>
      <w:r w:rsidRPr="00D80398">
        <w:rPr>
          <w:rFonts w:hint="cs"/>
          <w:rtl/>
        </w:rPr>
        <w:t xml:space="preserve"> </w:t>
      </w:r>
      <w:r w:rsidRPr="00D80398">
        <w:rPr>
          <w:rtl/>
        </w:rPr>
        <w:t>–</w:t>
      </w:r>
      <w:r w:rsidRPr="00D80398">
        <w:rPr>
          <w:rFonts w:hint="cs"/>
          <w:rtl/>
        </w:rPr>
        <w:t xml:space="preserve"> מדידה מסודרת וראויה</w:t>
      </w:r>
      <w:r w:rsidR="006F7623">
        <w:rPr>
          <w:rFonts w:hint="cs"/>
          <w:rtl/>
        </w:rPr>
        <w:t>, כפי שהיא עצמה אמרה שתעשה.</w:t>
      </w:r>
      <w:r w:rsidRPr="00D80398">
        <w:rPr>
          <w:rFonts w:hint="cs"/>
          <w:rtl/>
        </w:rPr>
        <w:t xml:space="preserve"> לו טענות</w:t>
      </w:r>
      <w:r w:rsidR="00804B0F">
        <w:rPr>
          <w:rFonts w:hint="cs"/>
          <w:rtl/>
        </w:rPr>
        <w:t>יה</w:t>
      </w:r>
      <w:r w:rsidRPr="00D80398">
        <w:rPr>
          <w:rFonts w:hint="cs"/>
          <w:rtl/>
        </w:rPr>
        <w:t xml:space="preserve"> של ה</w:t>
      </w:r>
      <w:r w:rsidR="0008252E">
        <w:rPr>
          <w:rFonts w:hint="cs"/>
          <w:rtl/>
        </w:rPr>
        <w:t>עוררת</w:t>
      </w:r>
      <w:r w:rsidRPr="00D80398">
        <w:rPr>
          <w:rFonts w:hint="cs"/>
          <w:rtl/>
        </w:rPr>
        <w:t xml:space="preserve"> היו נכונות </w:t>
      </w:r>
      <w:r w:rsidRPr="00D80398">
        <w:rPr>
          <w:rtl/>
        </w:rPr>
        <w:t>–</w:t>
      </w:r>
      <w:r w:rsidRPr="00D80398">
        <w:rPr>
          <w:rFonts w:hint="cs"/>
          <w:rtl/>
        </w:rPr>
        <w:t xml:space="preserve"> נקל היה עלי</w:t>
      </w:r>
      <w:r w:rsidR="00804B0F">
        <w:rPr>
          <w:rFonts w:hint="cs"/>
          <w:rtl/>
        </w:rPr>
        <w:t>ה</w:t>
      </w:r>
      <w:r w:rsidRPr="00D80398">
        <w:rPr>
          <w:rFonts w:hint="cs"/>
          <w:rtl/>
        </w:rPr>
        <w:t xml:space="preserve"> להוכיחן. </w:t>
      </w:r>
    </w:p>
    <w:p w14:paraId="6C493DCA" w14:textId="77777777" w:rsidR="006F2E67" w:rsidRDefault="006F2E67" w:rsidP="006F2E67">
      <w:pPr>
        <w:spacing w:line="360" w:lineRule="auto"/>
        <w:ind w:left="1080"/>
        <w:jc w:val="both"/>
        <w:rPr>
          <w:rFonts w:cs="David"/>
        </w:rPr>
      </w:pPr>
    </w:p>
    <w:p w14:paraId="76DC854A" w14:textId="60688694" w:rsidR="00547DBB" w:rsidRDefault="00547DBB" w:rsidP="009572F2">
      <w:pPr>
        <w:numPr>
          <w:ilvl w:val="0"/>
          <w:numId w:val="1"/>
        </w:numPr>
        <w:spacing w:line="360" w:lineRule="auto"/>
        <w:jc w:val="both"/>
        <w:rPr>
          <w:rFonts w:cs="David"/>
        </w:rPr>
      </w:pPr>
      <w:r w:rsidRPr="00D80398">
        <w:rPr>
          <w:rFonts w:cs="David" w:hint="cs"/>
          <w:rtl/>
        </w:rPr>
        <w:t xml:space="preserve">מקובלת עלינו עמדת המשיב כי נטל הראיה מוטל על העורר, באשר חזקה על הרשות כי היא פועלת כדין. (רע"א 1436/90, </w:t>
      </w:r>
      <w:r w:rsidRPr="00D80398">
        <w:rPr>
          <w:rFonts w:cs="David" w:hint="cs"/>
          <w:b/>
          <w:bCs/>
          <w:rtl/>
        </w:rPr>
        <w:t>גיורא ארד חברה לניהול השקעות ושרותים בע"מ נ. מנהל מע"מ</w:t>
      </w:r>
      <w:r w:rsidRPr="00D80398">
        <w:rPr>
          <w:rFonts w:cs="David" w:hint="cs"/>
          <w:rtl/>
        </w:rPr>
        <w:t xml:space="preserve">, פד"י מו (5) 101, 107, בר"ם 1153/07, </w:t>
      </w:r>
      <w:r w:rsidRPr="00D80398">
        <w:rPr>
          <w:rFonts w:cs="David" w:hint="cs"/>
          <w:b/>
          <w:bCs/>
          <w:rtl/>
        </w:rPr>
        <w:t>י.ר.א.ב שירותי נוי 1985 בע"מ נ. מנהל הארנונה עיריית חדרה</w:t>
      </w:r>
      <w:r w:rsidRPr="00D80398">
        <w:rPr>
          <w:rFonts w:cs="David" w:hint="cs"/>
          <w:rtl/>
        </w:rPr>
        <w:t xml:space="preserve"> (פורסם בנבו), בר"ם 8099/09, </w:t>
      </w:r>
      <w:r w:rsidRPr="00D80398">
        <w:rPr>
          <w:rFonts w:cs="David" w:hint="cs"/>
          <w:b/>
          <w:bCs/>
          <w:rtl/>
        </w:rPr>
        <w:t>ונדום אופנה בע"מ נ. עיריית תל אביב</w:t>
      </w:r>
      <w:r w:rsidRPr="00D80398">
        <w:rPr>
          <w:rFonts w:cs="David" w:hint="cs"/>
          <w:rtl/>
        </w:rPr>
        <w:t xml:space="preserve"> (פורסם בנבו)</w:t>
      </w:r>
      <w:r w:rsidR="00804B0F">
        <w:rPr>
          <w:rFonts w:cs="David" w:hint="cs"/>
          <w:rtl/>
        </w:rPr>
        <w:t xml:space="preserve">, עמ"נ (ת"א) 269/04 </w:t>
      </w:r>
      <w:r w:rsidR="00804B0F" w:rsidRPr="00804B0F">
        <w:rPr>
          <w:rFonts w:cs="David" w:hint="cs"/>
          <w:b/>
          <w:bCs/>
          <w:rtl/>
        </w:rPr>
        <w:t>אלי רוני ואבי יוזמה ופיתוח בע"מ נ. מנהל הארנונה של עיריית ראשון לציון</w:t>
      </w:r>
      <w:r w:rsidR="00804B0F">
        <w:rPr>
          <w:rFonts w:cs="David" w:hint="cs"/>
          <w:rtl/>
        </w:rPr>
        <w:t xml:space="preserve"> </w:t>
      </w:r>
      <w:r w:rsidR="00804B0F" w:rsidRPr="00D80398">
        <w:rPr>
          <w:rFonts w:cs="David" w:hint="cs"/>
          <w:rtl/>
        </w:rPr>
        <w:t>(פורסם בנבו)</w:t>
      </w:r>
      <w:r w:rsidRPr="00D80398">
        <w:rPr>
          <w:rFonts w:cs="David" w:hint="cs"/>
          <w:rtl/>
        </w:rPr>
        <w:t>.</w:t>
      </w:r>
    </w:p>
    <w:p w14:paraId="05986264" w14:textId="77777777" w:rsidR="000E493E" w:rsidRDefault="000E493E" w:rsidP="000E493E">
      <w:pPr>
        <w:pStyle w:val="ae"/>
        <w:rPr>
          <w:rtl/>
        </w:rPr>
      </w:pPr>
    </w:p>
    <w:p w14:paraId="1EB3BF02" w14:textId="49FB7CD9" w:rsidR="000E493E" w:rsidRDefault="000E493E" w:rsidP="000E493E">
      <w:pPr>
        <w:pStyle w:val="ae"/>
        <w:numPr>
          <w:ilvl w:val="0"/>
          <w:numId w:val="1"/>
        </w:numPr>
        <w:spacing w:before="120" w:after="120" w:line="360" w:lineRule="auto"/>
        <w:contextualSpacing w:val="0"/>
        <w:jc w:val="both"/>
      </w:pPr>
      <w:r>
        <w:rPr>
          <w:rFonts w:hint="cs"/>
          <w:rtl/>
        </w:rPr>
        <w:t xml:space="preserve">לגבי  טענת העוררת לעניין שטחים משותפים </w:t>
      </w:r>
      <w:r>
        <w:rPr>
          <w:rtl/>
        </w:rPr>
        <w:t>–</w:t>
      </w:r>
      <w:r>
        <w:rPr>
          <w:rFonts w:hint="cs"/>
          <w:rtl/>
        </w:rPr>
        <w:t xml:space="preserve"> רשמנו לפנינו עמדת המשיב כי  העוררת לא חויבה בשטחים משותפים ולא ברור מה הבסיס העובדתי לטענה זו.</w:t>
      </w:r>
      <w:r w:rsidR="00273ACC">
        <w:rPr>
          <w:rFonts w:hint="cs"/>
          <w:rtl/>
        </w:rPr>
        <w:t xml:space="preserve"> בהתאם לתצהיר המשיב </w:t>
      </w:r>
      <w:proofErr w:type="spellStart"/>
      <w:r w:rsidR="00273ACC">
        <w:rPr>
          <w:rFonts w:hint="cs"/>
          <w:rtl/>
        </w:rPr>
        <w:t>ולתשריט</w:t>
      </w:r>
      <w:proofErr w:type="spellEnd"/>
      <w:r w:rsidR="00273ACC">
        <w:rPr>
          <w:rFonts w:hint="cs"/>
          <w:rtl/>
        </w:rPr>
        <w:t xml:space="preserve"> </w:t>
      </w:r>
      <w:r w:rsidR="00273ACC">
        <w:rPr>
          <w:rtl/>
        </w:rPr>
        <w:t>–</w:t>
      </w:r>
      <w:r w:rsidR="00273ACC">
        <w:rPr>
          <w:rFonts w:hint="cs"/>
          <w:rtl/>
        </w:rPr>
        <w:t xml:space="preserve"> אכן אין חיוב של השטחים המשותפים </w:t>
      </w:r>
      <w:r w:rsidR="00CB185C">
        <w:rPr>
          <w:rFonts w:hint="cs"/>
          <w:rtl/>
        </w:rPr>
        <w:t xml:space="preserve">ודין טענה זו </w:t>
      </w:r>
      <w:r w:rsidR="00CB185C">
        <w:rPr>
          <w:rtl/>
        </w:rPr>
        <w:t>–</w:t>
      </w:r>
      <w:r w:rsidR="00CB185C">
        <w:rPr>
          <w:rFonts w:hint="cs"/>
          <w:rtl/>
        </w:rPr>
        <w:t xml:space="preserve"> להידחות. </w:t>
      </w:r>
    </w:p>
    <w:p w14:paraId="621A0B1D" w14:textId="1B41FD70" w:rsidR="00F317E5" w:rsidRDefault="001D122A" w:rsidP="00F317E5">
      <w:pPr>
        <w:numPr>
          <w:ilvl w:val="0"/>
          <w:numId w:val="1"/>
        </w:numPr>
        <w:spacing w:line="360" w:lineRule="auto"/>
        <w:jc w:val="both"/>
        <w:rPr>
          <w:rFonts w:cs="David"/>
          <w:sz w:val="28"/>
          <w:szCs w:val="28"/>
        </w:rPr>
      </w:pPr>
      <w:r>
        <w:rPr>
          <w:rFonts w:cs="David" w:hint="cs"/>
          <w:rtl/>
        </w:rPr>
        <w:t xml:space="preserve">הועלו על ידי העוררת טענות </w:t>
      </w:r>
      <w:proofErr w:type="spellStart"/>
      <w:r w:rsidR="00A6522B">
        <w:rPr>
          <w:rFonts w:cs="David" w:hint="cs"/>
          <w:rtl/>
        </w:rPr>
        <w:t>בענין</w:t>
      </w:r>
      <w:proofErr w:type="spellEnd"/>
      <w:r w:rsidR="00A6522B">
        <w:rPr>
          <w:rFonts w:cs="David" w:hint="cs"/>
          <w:rtl/>
        </w:rPr>
        <w:t xml:space="preserve"> סיווג הנכס</w:t>
      </w:r>
      <w:r w:rsidR="005F51C6">
        <w:rPr>
          <w:rFonts w:cs="David" w:hint="cs"/>
          <w:rtl/>
        </w:rPr>
        <w:t>, טענות בדבר שיט</w:t>
      </w:r>
      <w:r w:rsidR="000E493E">
        <w:rPr>
          <w:rFonts w:cs="David" w:hint="cs"/>
          <w:rtl/>
        </w:rPr>
        <w:t>ת</w:t>
      </w:r>
      <w:r w:rsidR="005F51C6">
        <w:rPr>
          <w:rFonts w:cs="David" w:hint="cs"/>
          <w:rtl/>
        </w:rPr>
        <w:t xml:space="preserve"> המדידה על פי צו הארנונה</w:t>
      </w:r>
      <w:r>
        <w:rPr>
          <w:rFonts w:cs="David" w:hint="cs"/>
          <w:rtl/>
        </w:rPr>
        <w:t xml:space="preserve"> וכן </w:t>
      </w:r>
      <w:proofErr w:type="spellStart"/>
      <w:r>
        <w:rPr>
          <w:rFonts w:cs="David" w:hint="cs"/>
          <w:rtl/>
        </w:rPr>
        <w:t>בענין</w:t>
      </w:r>
      <w:proofErr w:type="spellEnd"/>
      <w:r>
        <w:rPr>
          <w:rFonts w:cs="David" w:hint="cs"/>
          <w:rtl/>
        </w:rPr>
        <w:t xml:space="preserve"> חברת המדידות </w:t>
      </w:r>
      <w:r w:rsidR="00A6522B">
        <w:rPr>
          <w:rFonts w:cs="David"/>
          <w:rtl/>
        </w:rPr>
        <w:t>–</w:t>
      </w:r>
      <w:r w:rsidR="00A6522B">
        <w:rPr>
          <w:rFonts w:cs="David" w:hint="cs"/>
          <w:rtl/>
        </w:rPr>
        <w:t xml:space="preserve"> </w:t>
      </w:r>
      <w:r w:rsidR="006231F3">
        <w:rPr>
          <w:rFonts w:cs="David" w:hint="cs"/>
          <w:rtl/>
        </w:rPr>
        <w:t xml:space="preserve">מקובלת עלינו </w:t>
      </w:r>
      <w:proofErr w:type="spellStart"/>
      <w:r w:rsidR="006231F3">
        <w:rPr>
          <w:rFonts w:cs="David" w:hint="cs"/>
          <w:rtl/>
        </w:rPr>
        <w:t>לענין</w:t>
      </w:r>
      <w:proofErr w:type="spellEnd"/>
      <w:r w:rsidR="006231F3">
        <w:rPr>
          <w:rFonts w:cs="David" w:hint="cs"/>
          <w:rtl/>
        </w:rPr>
        <w:t xml:space="preserve"> זה טענת המשיב כי </w:t>
      </w:r>
      <w:r w:rsidR="00A6522B">
        <w:rPr>
          <w:rFonts w:cs="David" w:hint="cs"/>
          <w:rtl/>
        </w:rPr>
        <w:t>אכן, המדובר בשאל</w:t>
      </w:r>
      <w:r w:rsidR="00BF6C2C">
        <w:rPr>
          <w:rFonts w:cs="David" w:hint="cs"/>
          <w:rtl/>
        </w:rPr>
        <w:t>ות</w:t>
      </w:r>
      <w:r w:rsidR="00A6522B">
        <w:rPr>
          <w:rFonts w:cs="David" w:hint="cs"/>
          <w:rtl/>
        </w:rPr>
        <w:t xml:space="preserve"> החורג</w:t>
      </w:r>
      <w:r w:rsidR="00BF6C2C">
        <w:rPr>
          <w:rFonts w:cs="David" w:hint="cs"/>
          <w:rtl/>
        </w:rPr>
        <w:t>ו</w:t>
      </w:r>
      <w:r w:rsidR="00A6522B">
        <w:rPr>
          <w:rFonts w:cs="David" w:hint="cs"/>
          <w:rtl/>
        </w:rPr>
        <w:t xml:space="preserve">ת </w:t>
      </w:r>
      <w:r w:rsidR="00F317E5">
        <w:rPr>
          <w:rFonts w:cs="David" w:hint="cs"/>
          <w:rtl/>
        </w:rPr>
        <w:t>מסמכות הוועדה (</w:t>
      </w:r>
      <w:r w:rsidR="00F317E5" w:rsidRPr="00D80398">
        <w:rPr>
          <w:rFonts w:cs="David" w:hint="cs"/>
          <w:rtl/>
        </w:rPr>
        <w:t>חוסר סמכות</w:t>
      </w:r>
      <w:r w:rsidR="00F317E5">
        <w:rPr>
          <w:rFonts w:cs="David" w:hint="cs"/>
          <w:rtl/>
        </w:rPr>
        <w:t xml:space="preserve"> ו</w:t>
      </w:r>
      <w:r w:rsidR="00F317E5" w:rsidRPr="00D80398">
        <w:rPr>
          <w:rFonts w:cs="David" w:hint="cs"/>
          <w:rtl/>
        </w:rPr>
        <w:t xml:space="preserve">אי </w:t>
      </w:r>
      <w:r w:rsidR="00BF6C2C">
        <w:rPr>
          <w:rFonts w:cs="David" w:hint="cs"/>
          <w:rtl/>
        </w:rPr>
        <w:t xml:space="preserve">סבירות של </w:t>
      </w:r>
      <w:r w:rsidR="00F317E5" w:rsidRPr="00D80398">
        <w:rPr>
          <w:rFonts w:cs="David" w:hint="cs"/>
          <w:rtl/>
        </w:rPr>
        <w:t>צו</w:t>
      </w:r>
      <w:r w:rsidR="00BF6C2C">
        <w:rPr>
          <w:rFonts w:cs="David" w:hint="cs"/>
          <w:rtl/>
        </w:rPr>
        <w:t xml:space="preserve"> הארנונה</w:t>
      </w:r>
      <w:r w:rsidR="00F317E5">
        <w:rPr>
          <w:rFonts w:cs="David" w:hint="cs"/>
          <w:rtl/>
        </w:rPr>
        <w:t>).</w:t>
      </w:r>
    </w:p>
    <w:p w14:paraId="1A2E4A1D" w14:textId="77777777" w:rsidR="006F2E67" w:rsidRDefault="006F2E67" w:rsidP="006F2E67">
      <w:pPr>
        <w:spacing w:line="360" w:lineRule="auto"/>
        <w:ind w:left="1080"/>
        <w:jc w:val="both"/>
        <w:rPr>
          <w:rFonts w:cs="David"/>
        </w:rPr>
      </w:pPr>
    </w:p>
    <w:p w14:paraId="1C294E60" w14:textId="6F7FF030" w:rsidR="00F317E5" w:rsidRDefault="00F317E5" w:rsidP="00F317E5">
      <w:pPr>
        <w:numPr>
          <w:ilvl w:val="0"/>
          <w:numId w:val="1"/>
        </w:numPr>
        <w:spacing w:line="360" w:lineRule="auto"/>
        <w:jc w:val="both"/>
        <w:rPr>
          <w:rFonts w:cs="David"/>
        </w:rPr>
      </w:pPr>
      <w:r w:rsidRPr="009D0D16">
        <w:rPr>
          <w:rFonts w:cs="David" w:hint="cs"/>
          <w:rtl/>
        </w:rPr>
        <w:t>סעיף 3 ל</w:t>
      </w:r>
      <w:r w:rsidRPr="009D0D16">
        <w:rPr>
          <w:rFonts w:cs="David" w:hint="cs"/>
          <w:b/>
          <w:bCs/>
          <w:rtl/>
        </w:rPr>
        <w:t>חוק הרשויות המקומיות (ערר על קביעת ארנונה כללית), התשל"ו-1976,</w:t>
      </w:r>
      <w:r w:rsidRPr="009D0D16">
        <w:rPr>
          <w:rFonts w:cs="David" w:hint="cs"/>
          <w:rtl/>
        </w:rPr>
        <w:t xml:space="preserve"> קובע רשימה של טענות, אשר בגינן ניתן לפנות בהשגה למנהל הארנונה. </w:t>
      </w:r>
    </w:p>
    <w:p w14:paraId="6D5648D7" w14:textId="77777777" w:rsidR="006F2E67" w:rsidRDefault="006F2E67" w:rsidP="006F2E67">
      <w:pPr>
        <w:spacing w:line="360" w:lineRule="auto"/>
        <w:ind w:left="1080"/>
        <w:jc w:val="both"/>
        <w:rPr>
          <w:rFonts w:cs="David"/>
        </w:rPr>
      </w:pPr>
    </w:p>
    <w:p w14:paraId="77B06F7F" w14:textId="270249E7" w:rsidR="00F317E5" w:rsidRDefault="00F317E5" w:rsidP="00F317E5">
      <w:pPr>
        <w:numPr>
          <w:ilvl w:val="0"/>
          <w:numId w:val="1"/>
        </w:numPr>
        <w:spacing w:line="360" w:lineRule="auto"/>
        <w:jc w:val="both"/>
        <w:rPr>
          <w:rFonts w:cs="David"/>
        </w:rPr>
      </w:pPr>
      <w:r w:rsidRPr="00AA1905">
        <w:rPr>
          <w:rFonts w:cs="David" w:hint="cs"/>
          <w:rtl/>
        </w:rPr>
        <w:t>מסעיף זה עולה כי סמכותו של מנהל הארנונה מוגבלת לנושאים עובדתיים וטכניים מסוימים וכי אין הוא מוסמך לדון בכל טענה אחרת.</w:t>
      </w:r>
    </w:p>
    <w:p w14:paraId="4D63BFED" w14:textId="77777777" w:rsidR="006B3890" w:rsidRDefault="006B3890" w:rsidP="006B3890">
      <w:pPr>
        <w:pStyle w:val="ae"/>
        <w:rPr>
          <w:rtl/>
        </w:rPr>
      </w:pPr>
    </w:p>
    <w:p w14:paraId="46B244EF" w14:textId="22354E07" w:rsidR="00F317E5" w:rsidRPr="00B40979" w:rsidRDefault="00F317E5" w:rsidP="003014DF">
      <w:pPr>
        <w:numPr>
          <w:ilvl w:val="0"/>
          <w:numId w:val="1"/>
        </w:numPr>
        <w:spacing w:before="100" w:beforeAutospacing="1" w:after="100" w:afterAutospacing="1" w:line="360" w:lineRule="auto"/>
        <w:ind w:left="1077"/>
        <w:jc w:val="both"/>
        <w:rPr>
          <w:rFonts w:cs="David"/>
          <w:rtl/>
        </w:rPr>
      </w:pPr>
      <w:r w:rsidRPr="00AA1905">
        <w:rPr>
          <w:rFonts w:cs="David" w:hint="cs"/>
          <w:rtl/>
        </w:rPr>
        <w:t xml:space="preserve">לעניין המסלול הראוי לתקיפת החלטות בעניין ארנונה, ר' </w:t>
      </w:r>
      <w:r w:rsidR="00E30E18">
        <w:rPr>
          <w:rFonts w:cs="David" w:hint="cs"/>
          <w:rtl/>
        </w:rPr>
        <w:t xml:space="preserve">למשל </w:t>
      </w:r>
      <w:proofErr w:type="spellStart"/>
      <w:r w:rsidRPr="00AA1905">
        <w:rPr>
          <w:rFonts w:cs="David" w:hint="cs"/>
          <w:rtl/>
        </w:rPr>
        <w:t>עע"מ</w:t>
      </w:r>
      <w:proofErr w:type="spellEnd"/>
      <w:r w:rsidRPr="00AA1905">
        <w:rPr>
          <w:rFonts w:cs="David" w:hint="cs"/>
          <w:rtl/>
        </w:rPr>
        <w:t xml:space="preserve"> 5640/04 </w:t>
      </w:r>
      <w:r w:rsidRPr="00AA1905">
        <w:rPr>
          <w:rFonts w:cs="David" w:hint="cs"/>
          <w:b/>
          <w:bCs/>
          <w:rtl/>
        </w:rPr>
        <w:t>מקורות חברת מים בע"מ נ' מועצה אזורית לכיש ואח'</w:t>
      </w:r>
      <w:r>
        <w:rPr>
          <w:rFonts w:cs="David" w:hint="cs"/>
          <w:rtl/>
        </w:rPr>
        <w:t xml:space="preserve"> [פ</w:t>
      </w:r>
      <w:r w:rsidR="00C96E5C">
        <w:rPr>
          <w:rFonts w:cs="David" w:hint="cs"/>
          <w:rtl/>
        </w:rPr>
        <w:t>"</w:t>
      </w:r>
      <w:r>
        <w:rPr>
          <w:rFonts w:cs="David" w:hint="cs"/>
          <w:rtl/>
        </w:rPr>
        <w:t xml:space="preserve">דאור (לא פורסם) 05 (20)] 721 וכן </w:t>
      </w:r>
      <w:r w:rsidRPr="00AA1905">
        <w:rPr>
          <w:rFonts w:cs="David" w:hint="cs"/>
          <w:rtl/>
        </w:rPr>
        <w:t xml:space="preserve">בג"צ 764/88 </w:t>
      </w:r>
      <w:r w:rsidRPr="00AA1905">
        <w:rPr>
          <w:rFonts w:cs="David" w:hint="cs"/>
          <w:b/>
          <w:bCs/>
          <w:rtl/>
        </w:rPr>
        <w:t>דשנים וחומרים כימיים בע"מ נ' עיריית קרית אתא</w:t>
      </w:r>
      <w:r>
        <w:rPr>
          <w:rFonts w:cs="David" w:hint="cs"/>
          <w:rtl/>
        </w:rPr>
        <w:t xml:space="preserve">, פד"י מו (1) 793 </w:t>
      </w:r>
      <w:r w:rsidRPr="00B40979">
        <w:rPr>
          <w:rFonts w:cs="David" w:hint="cs"/>
          <w:rtl/>
        </w:rPr>
        <w:t>ור</w:t>
      </w:r>
      <w:r>
        <w:rPr>
          <w:rFonts w:cs="David" w:hint="cs"/>
          <w:rtl/>
        </w:rPr>
        <w:t>'</w:t>
      </w:r>
      <w:r w:rsidRPr="00B40979">
        <w:rPr>
          <w:rFonts w:cs="David" w:hint="cs"/>
          <w:rtl/>
        </w:rPr>
        <w:t xml:space="preserve"> גם פסק דינה של כב' השופטת שרה גדות - עמ"נ 228/04 (ת</w:t>
      </w:r>
      <w:r>
        <w:rPr>
          <w:rFonts w:cs="David" w:hint="cs"/>
          <w:rtl/>
        </w:rPr>
        <w:t>"א</w:t>
      </w:r>
      <w:r w:rsidRPr="00B40979">
        <w:rPr>
          <w:rFonts w:cs="David" w:hint="cs"/>
          <w:rtl/>
        </w:rPr>
        <w:t xml:space="preserve">) </w:t>
      </w:r>
      <w:r w:rsidRPr="00FB3F4F">
        <w:rPr>
          <w:rFonts w:cs="David" w:hint="cs"/>
          <w:b/>
          <w:bCs/>
          <w:rtl/>
        </w:rPr>
        <w:t>סופר פארם בע"מ נ' עיריית גבעתיים</w:t>
      </w:r>
      <w:r w:rsidRPr="00B40979">
        <w:rPr>
          <w:rFonts w:cs="David" w:hint="cs"/>
          <w:rtl/>
        </w:rPr>
        <w:t xml:space="preserve"> (פס"ד מיום 3.3.2008)</w:t>
      </w:r>
      <w:r>
        <w:rPr>
          <w:rFonts w:cs="David" w:hint="cs"/>
          <w:rtl/>
        </w:rPr>
        <w:t>.</w:t>
      </w:r>
    </w:p>
    <w:p w14:paraId="42AAC953" w14:textId="77777777" w:rsidR="00B518A5" w:rsidRDefault="00B518A5" w:rsidP="00B518A5">
      <w:pPr>
        <w:spacing w:line="360" w:lineRule="auto"/>
        <w:ind w:left="1080"/>
        <w:jc w:val="both"/>
        <w:rPr>
          <w:rFonts w:cs="David"/>
        </w:rPr>
      </w:pPr>
    </w:p>
    <w:p w14:paraId="400B70F2" w14:textId="3B0179CF" w:rsidR="00F317E5" w:rsidRPr="00D80398" w:rsidRDefault="00F317E5" w:rsidP="00F317E5">
      <w:pPr>
        <w:numPr>
          <w:ilvl w:val="0"/>
          <w:numId w:val="1"/>
        </w:numPr>
        <w:spacing w:line="360" w:lineRule="auto"/>
        <w:jc w:val="both"/>
        <w:rPr>
          <w:rFonts w:cs="David"/>
        </w:rPr>
      </w:pPr>
      <w:r w:rsidRPr="00AA1905">
        <w:rPr>
          <w:rFonts w:cs="David" w:hint="cs"/>
          <w:rtl/>
        </w:rPr>
        <w:t>לפיכך, המקום לטעון טענות אלו אינו בפני וועדת הערר. וועדת הערר לא תדון בשאל</w:t>
      </w:r>
      <w:r>
        <w:rPr>
          <w:rFonts w:cs="David" w:hint="cs"/>
          <w:rtl/>
        </w:rPr>
        <w:t xml:space="preserve">ות אלו. </w:t>
      </w:r>
    </w:p>
    <w:p w14:paraId="04B5C403" w14:textId="04EA83D1" w:rsidR="003014DF" w:rsidRDefault="003014DF" w:rsidP="00547DBB">
      <w:pPr>
        <w:spacing w:line="360" w:lineRule="auto"/>
        <w:ind w:left="720" w:firstLine="360"/>
        <w:jc w:val="both"/>
        <w:rPr>
          <w:rFonts w:cs="David"/>
          <w:b/>
          <w:bCs/>
          <w:sz w:val="28"/>
          <w:szCs w:val="28"/>
          <w:u w:val="single"/>
          <w:rtl/>
        </w:rPr>
      </w:pPr>
    </w:p>
    <w:p w14:paraId="33CF925D" w14:textId="77777777" w:rsidR="004E7ABF" w:rsidRDefault="004E7ABF" w:rsidP="00547DBB">
      <w:pPr>
        <w:spacing w:line="360" w:lineRule="auto"/>
        <w:ind w:left="720" w:firstLine="360"/>
        <w:jc w:val="both"/>
        <w:rPr>
          <w:rFonts w:cs="David"/>
          <w:b/>
          <w:bCs/>
          <w:sz w:val="28"/>
          <w:szCs w:val="28"/>
          <w:u w:val="single"/>
          <w:rtl/>
        </w:rPr>
      </w:pPr>
    </w:p>
    <w:p w14:paraId="4C2D61AF" w14:textId="77777777" w:rsidR="00547DBB" w:rsidRPr="0082463A" w:rsidRDefault="00547DBB" w:rsidP="00547DBB">
      <w:pPr>
        <w:spacing w:line="360" w:lineRule="auto"/>
        <w:ind w:left="720" w:firstLine="360"/>
        <w:jc w:val="both"/>
        <w:rPr>
          <w:rFonts w:cs="David"/>
          <w:b/>
          <w:bCs/>
          <w:sz w:val="32"/>
          <w:szCs w:val="32"/>
          <w:u w:val="single"/>
          <w:rtl/>
        </w:rPr>
      </w:pPr>
      <w:r w:rsidRPr="0082463A">
        <w:rPr>
          <w:rFonts w:cs="David" w:hint="cs"/>
          <w:b/>
          <w:bCs/>
          <w:sz w:val="32"/>
          <w:szCs w:val="32"/>
          <w:u w:val="single"/>
          <w:rtl/>
        </w:rPr>
        <w:t>סיכום</w:t>
      </w:r>
    </w:p>
    <w:p w14:paraId="04095211" w14:textId="77777777" w:rsidR="003014DF" w:rsidRPr="00D80398" w:rsidRDefault="003014DF" w:rsidP="00547DBB">
      <w:pPr>
        <w:spacing w:line="360" w:lineRule="auto"/>
        <w:ind w:left="720" w:firstLine="360"/>
        <w:jc w:val="both"/>
        <w:rPr>
          <w:rFonts w:cs="David"/>
          <w:b/>
          <w:bCs/>
          <w:sz w:val="28"/>
          <w:szCs w:val="28"/>
          <w:u w:val="single"/>
          <w:rtl/>
        </w:rPr>
      </w:pPr>
    </w:p>
    <w:p w14:paraId="7ABBBA4C" w14:textId="48A72A94" w:rsidR="005F3DAB" w:rsidRPr="00BF6AFE" w:rsidRDefault="005F3DAB" w:rsidP="00E30E18">
      <w:pPr>
        <w:numPr>
          <w:ilvl w:val="0"/>
          <w:numId w:val="1"/>
        </w:numPr>
        <w:tabs>
          <w:tab w:val="clear" w:pos="1080"/>
          <w:tab w:val="num" w:pos="1076"/>
        </w:tabs>
        <w:spacing w:line="360" w:lineRule="auto"/>
        <w:ind w:left="1076" w:right="-142" w:hanging="996"/>
        <w:jc w:val="both"/>
        <w:rPr>
          <w:rFonts w:cs="David"/>
        </w:rPr>
      </w:pPr>
      <w:r w:rsidRPr="00BF6AFE">
        <w:rPr>
          <w:rFonts w:cs="David" w:hint="cs"/>
          <w:rtl/>
        </w:rPr>
        <w:t>לסיכום החלטה זו אנו קוב</w:t>
      </w:r>
      <w:r w:rsidR="007663C9">
        <w:rPr>
          <w:rFonts w:cs="David" w:hint="cs"/>
          <w:rtl/>
        </w:rPr>
        <w:t>ע</w:t>
      </w:r>
      <w:r w:rsidR="00B12426" w:rsidRPr="00BF6AFE">
        <w:rPr>
          <w:rFonts w:cs="David" w:hint="cs"/>
          <w:rtl/>
        </w:rPr>
        <w:t xml:space="preserve">ים כי </w:t>
      </w:r>
      <w:r w:rsidR="00BF6AFE" w:rsidRPr="00BF6AFE">
        <w:rPr>
          <w:rFonts w:cs="David" w:hint="cs"/>
          <w:rtl/>
        </w:rPr>
        <w:t xml:space="preserve">הערר </w:t>
      </w:r>
      <w:r w:rsidRPr="00BF6AFE">
        <w:rPr>
          <w:rFonts w:cs="David" w:hint="cs"/>
          <w:rtl/>
        </w:rPr>
        <w:t>נדחה</w:t>
      </w:r>
      <w:r w:rsidR="00B12426" w:rsidRPr="00BF6AFE">
        <w:rPr>
          <w:rFonts w:cs="David" w:hint="cs"/>
          <w:rtl/>
        </w:rPr>
        <w:t xml:space="preserve"> הן </w:t>
      </w:r>
      <w:proofErr w:type="spellStart"/>
      <w:r w:rsidR="00B12426" w:rsidRPr="00BF6AFE">
        <w:rPr>
          <w:rFonts w:cs="David" w:hint="cs"/>
          <w:rtl/>
        </w:rPr>
        <w:t>לענין</w:t>
      </w:r>
      <w:proofErr w:type="spellEnd"/>
      <w:r w:rsidR="00B12426" w:rsidRPr="00BF6AFE">
        <w:rPr>
          <w:rFonts w:cs="David" w:hint="cs"/>
          <w:rtl/>
        </w:rPr>
        <w:t xml:space="preserve"> גודל הנכס והן </w:t>
      </w:r>
      <w:proofErr w:type="spellStart"/>
      <w:r w:rsidR="00B12426" w:rsidRPr="00BF6AFE">
        <w:rPr>
          <w:rFonts w:cs="David" w:hint="cs"/>
          <w:rtl/>
        </w:rPr>
        <w:t>לענין</w:t>
      </w:r>
      <w:proofErr w:type="spellEnd"/>
      <w:r w:rsidR="007663C9">
        <w:rPr>
          <w:rFonts w:cs="David" w:hint="cs"/>
          <w:rtl/>
        </w:rPr>
        <w:t xml:space="preserve"> </w:t>
      </w:r>
      <w:r w:rsidR="00B12426" w:rsidRPr="00BF6AFE">
        <w:rPr>
          <w:rFonts w:cs="David" w:hint="cs"/>
          <w:rtl/>
        </w:rPr>
        <w:t xml:space="preserve">סיווגו. </w:t>
      </w:r>
      <w:r w:rsidR="005D0896">
        <w:rPr>
          <w:rFonts w:cs="David" w:hint="cs"/>
          <w:rtl/>
        </w:rPr>
        <w:t xml:space="preserve">הטענות הנוספות, כמפורט לעיל, אינן בסמכותה של הוועדה. </w:t>
      </w:r>
    </w:p>
    <w:p w14:paraId="147F01AE" w14:textId="77777777" w:rsidR="006F2E67" w:rsidRDefault="006F2E67" w:rsidP="006F2E67">
      <w:pPr>
        <w:spacing w:line="360" w:lineRule="auto"/>
        <w:ind w:left="1080" w:right="-142"/>
        <w:jc w:val="both"/>
        <w:rPr>
          <w:rFonts w:cs="David"/>
        </w:rPr>
      </w:pPr>
    </w:p>
    <w:p w14:paraId="26C89DB5" w14:textId="35944745" w:rsidR="005F3DAB" w:rsidRPr="00F868B8" w:rsidRDefault="005F3DAB" w:rsidP="005F3DAB">
      <w:pPr>
        <w:numPr>
          <w:ilvl w:val="0"/>
          <w:numId w:val="1"/>
        </w:numPr>
        <w:spacing w:line="360" w:lineRule="auto"/>
        <w:ind w:right="-142" w:hanging="996"/>
        <w:jc w:val="both"/>
        <w:rPr>
          <w:rFonts w:cs="David"/>
        </w:rPr>
      </w:pPr>
      <w:r>
        <w:rPr>
          <w:rFonts w:cs="David" w:hint="cs"/>
          <w:rtl/>
        </w:rPr>
        <w:t>העורר</w:t>
      </w:r>
      <w:r w:rsidR="00E96601">
        <w:rPr>
          <w:rFonts w:cs="David" w:hint="cs"/>
          <w:rtl/>
        </w:rPr>
        <w:t xml:space="preserve">ת תישא </w:t>
      </w:r>
      <w:r>
        <w:rPr>
          <w:rFonts w:cs="David" w:hint="cs"/>
          <w:rtl/>
        </w:rPr>
        <w:t xml:space="preserve"> בהוצאות המשיב בסך כולל של 3,000 ₪. </w:t>
      </w:r>
      <w:r w:rsidRPr="00D80398">
        <w:rPr>
          <w:rFonts w:cs="David" w:hint="cs"/>
          <w:sz w:val="20"/>
          <w:rtl/>
        </w:rPr>
        <w:t>סכום זה ישולם בתוך 30 יום מהיום, שאם לא כן יישא הפרשי הצמדה וריבית  כדין מיום מתן ההחלטה ועד ליום התשלום בפועל.</w:t>
      </w:r>
    </w:p>
    <w:p w14:paraId="522C637B" w14:textId="77777777" w:rsidR="006F2E67" w:rsidRPr="006F2E67" w:rsidRDefault="006F2E67" w:rsidP="006F2E67">
      <w:pPr>
        <w:spacing w:line="360" w:lineRule="auto"/>
        <w:ind w:left="1080" w:right="-142"/>
        <w:jc w:val="both"/>
        <w:rPr>
          <w:rFonts w:cs="David"/>
        </w:rPr>
      </w:pPr>
    </w:p>
    <w:p w14:paraId="7956DD6D" w14:textId="2C6FA57C" w:rsidR="005F3DAB" w:rsidRDefault="005F3DAB" w:rsidP="005F3DAB">
      <w:pPr>
        <w:numPr>
          <w:ilvl w:val="0"/>
          <w:numId w:val="1"/>
        </w:numPr>
        <w:spacing w:line="360" w:lineRule="auto"/>
        <w:ind w:right="-142" w:hanging="996"/>
        <w:jc w:val="both"/>
        <w:rPr>
          <w:rFonts w:cs="David"/>
        </w:rPr>
      </w:pPr>
      <w:r w:rsidRPr="00905A54">
        <w:rPr>
          <w:rFonts w:ascii="Arial" w:hAnsi="Arial" w:cs="David"/>
          <w:rtl/>
        </w:rPr>
        <w:t xml:space="preserve">החלטת הוועדה נתונה לערעור לפני בית המשפט לעניינים </w:t>
      </w:r>
      <w:proofErr w:type="spellStart"/>
      <w:r w:rsidRPr="00905A54">
        <w:rPr>
          <w:rFonts w:ascii="Arial" w:hAnsi="Arial" w:cs="David"/>
          <w:rtl/>
        </w:rPr>
        <w:t>מינהליים</w:t>
      </w:r>
      <w:proofErr w:type="spellEnd"/>
      <w:r w:rsidRPr="00905A54">
        <w:rPr>
          <w:rFonts w:ascii="Arial" w:hAnsi="Arial" w:cs="David"/>
          <w:rtl/>
        </w:rPr>
        <w:t xml:space="preserve"> </w:t>
      </w:r>
      <w:r w:rsidRPr="00905A54">
        <w:rPr>
          <w:rFonts w:ascii="Arial" w:hAnsi="Arial" w:cs="David" w:hint="cs"/>
          <w:rtl/>
        </w:rPr>
        <w:t>בתל אביב</w:t>
      </w:r>
      <w:r>
        <w:rPr>
          <w:rFonts w:ascii="Arial" w:hAnsi="Arial" w:cs="David" w:hint="cs"/>
          <w:rtl/>
        </w:rPr>
        <w:t xml:space="preserve"> יפו</w:t>
      </w:r>
      <w:r w:rsidRPr="00905A54">
        <w:rPr>
          <w:rFonts w:ascii="Arial" w:hAnsi="Arial" w:cs="David"/>
          <w:rtl/>
        </w:rPr>
        <w:t>, בתוך 45 ימים ממועד המצאת ההחלטה לצדדים.</w:t>
      </w:r>
    </w:p>
    <w:p w14:paraId="440747DB" w14:textId="77777777" w:rsidR="006F2E67" w:rsidRDefault="006F2E67" w:rsidP="006F2E67">
      <w:pPr>
        <w:spacing w:line="360" w:lineRule="auto"/>
        <w:ind w:left="1080" w:right="-142"/>
        <w:jc w:val="both"/>
        <w:rPr>
          <w:rFonts w:cs="David"/>
        </w:rPr>
      </w:pPr>
    </w:p>
    <w:p w14:paraId="454BF765" w14:textId="77777777" w:rsidR="004E7ABF" w:rsidRDefault="004E7ABF" w:rsidP="00353234">
      <w:pPr>
        <w:spacing w:line="360" w:lineRule="auto"/>
        <w:ind w:left="1080" w:right="-142"/>
        <w:jc w:val="both"/>
        <w:rPr>
          <w:rFonts w:cs="David"/>
        </w:rPr>
      </w:pPr>
    </w:p>
    <w:p w14:paraId="0E5EC672" w14:textId="77777777" w:rsidR="004E7ABF" w:rsidRDefault="004E7ABF" w:rsidP="004E7ABF">
      <w:pPr>
        <w:pStyle w:val="ae"/>
        <w:rPr>
          <w:rtl/>
        </w:rPr>
      </w:pPr>
    </w:p>
    <w:p w14:paraId="1479930A" w14:textId="3D2EBE6C" w:rsidR="005F3DAB" w:rsidRPr="00905A54" w:rsidRDefault="005F3DAB" w:rsidP="005F3DAB">
      <w:pPr>
        <w:numPr>
          <w:ilvl w:val="0"/>
          <w:numId w:val="1"/>
        </w:numPr>
        <w:spacing w:line="360" w:lineRule="auto"/>
        <w:ind w:right="-142" w:hanging="996"/>
        <w:jc w:val="both"/>
        <w:rPr>
          <w:rFonts w:cs="David"/>
        </w:rPr>
      </w:pPr>
      <w:r>
        <w:rPr>
          <w:rFonts w:cs="David" w:hint="cs"/>
          <w:rtl/>
        </w:rPr>
        <w:t xml:space="preserve">ההחלטה תפורסם באתר האינטרנט של העיריה. </w:t>
      </w:r>
    </w:p>
    <w:p w14:paraId="170AA49A" w14:textId="665C7CC4" w:rsidR="005F3DAB" w:rsidRDefault="005F3DAB" w:rsidP="005F3DAB">
      <w:pPr>
        <w:tabs>
          <w:tab w:val="left" w:pos="746"/>
        </w:tabs>
        <w:spacing w:before="120" w:after="120" w:line="360" w:lineRule="auto"/>
        <w:ind w:left="206"/>
        <w:jc w:val="both"/>
        <w:rPr>
          <w:rFonts w:cs="David"/>
          <w:rtl/>
        </w:rPr>
      </w:pPr>
      <w:r>
        <w:rPr>
          <w:rFonts w:cs="David" w:hint="cs"/>
          <w:rtl/>
        </w:rPr>
        <w:t>המזכירות תעביר לצדדים בדוא"ל, בפקס. ובדואר רשום.</w:t>
      </w:r>
    </w:p>
    <w:p w14:paraId="492E9DEC" w14:textId="77777777" w:rsidR="00C623E9" w:rsidRDefault="00C623E9" w:rsidP="005F3DAB">
      <w:pPr>
        <w:spacing w:line="360" w:lineRule="auto"/>
        <w:jc w:val="both"/>
        <w:rPr>
          <w:rFonts w:cs="David"/>
          <w:rtl/>
        </w:rPr>
      </w:pPr>
    </w:p>
    <w:p w14:paraId="0E5963BE" w14:textId="1797A1DB" w:rsidR="005F3DAB" w:rsidRDefault="005F3DAB" w:rsidP="005F3DAB">
      <w:pPr>
        <w:spacing w:line="360" w:lineRule="auto"/>
        <w:jc w:val="both"/>
        <w:rPr>
          <w:rFonts w:cs="David"/>
          <w:rtl/>
        </w:rPr>
      </w:pPr>
      <w:r w:rsidRPr="00187648">
        <w:rPr>
          <w:rFonts w:cs="David" w:hint="cs"/>
          <w:rtl/>
        </w:rPr>
        <w:t>ניתן היום</w:t>
      </w:r>
      <w:r>
        <w:rPr>
          <w:rFonts w:cs="David" w:hint="cs"/>
          <w:rtl/>
        </w:rPr>
        <w:t xml:space="preserve"> </w:t>
      </w:r>
      <w:r w:rsidR="00D22D4F">
        <w:rPr>
          <w:rFonts w:cs="David" w:hint="cs"/>
          <w:rtl/>
        </w:rPr>
        <w:t xml:space="preserve">י' באב </w:t>
      </w:r>
      <w:proofErr w:type="spellStart"/>
      <w:r>
        <w:rPr>
          <w:rFonts w:cs="David" w:hint="cs"/>
          <w:rtl/>
        </w:rPr>
        <w:t>תש"ף</w:t>
      </w:r>
      <w:proofErr w:type="spellEnd"/>
      <w:r>
        <w:rPr>
          <w:rFonts w:cs="David" w:hint="cs"/>
          <w:rtl/>
        </w:rPr>
        <w:t xml:space="preserve">, </w:t>
      </w:r>
      <w:r w:rsidR="004B335B">
        <w:rPr>
          <w:rFonts w:cs="David" w:hint="cs"/>
          <w:rtl/>
        </w:rPr>
        <w:t>31.7.2020</w:t>
      </w:r>
      <w:r w:rsidR="00E96601">
        <w:rPr>
          <w:rFonts w:cs="David" w:hint="cs"/>
          <w:rtl/>
        </w:rPr>
        <w:t xml:space="preserve"> </w:t>
      </w:r>
    </w:p>
    <w:p w14:paraId="2F2914C5" w14:textId="560E849C" w:rsidR="0082463A" w:rsidRDefault="0082463A" w:rsidP="005F3DAB">
      <w:pPr>
        <w:spacing w:line="360" w:lineRule="auto"/>
        <w:jc w:val="both"/>
        <w:rPr>
          <w:rFonts w:cs="David"/>
          <w:rtl/>
        </w:rPr>
      </w:pPr>
    </w:p>
    <w:p w14:paraId="7B2216FA" w14:textId="13426A47" w:rsidR="00E96601" w:rsidRDefault="007D4C21" w:rsidP="005F3DAB">
      <w:pPr>
        <w:spacing w:line="360" w:lineRule="auto"/>
        <w:jc w:val="both"/>
        <w:rPr>
          <w:rFonts w:cs="David"/>
          <w:rtl/>
        </w:rPr>
      </w:pP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p>
    <w:p w14:paraId="75F3DB10" w14:textId="37CDC1DD" w:rsidR="0059388B" w:rsidRDefault="0059388B" w:rsidP="005F3DAB">
      <w:pPr>
        <w:spacing w:line="360" w:lineRule="auto"/>
        <w:jc w:val="both"/>
        <w:rPr>
          <w:rFonts w:cs="David"/>
          <w:rtl/>
        </w:rPr>
      </w:pP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p>
    <w:p w14:paraId="43C70293" w14:textId="099771DA" w:rsidR="0059388B" w:rsidRDefault="00BA3ABE" w:rsidP="00BA3ABE">
      <w:pPr>
        <w:tabs>
          <w:tab w:val="left" w:pos="6050"/>
        </w:tabs>
        <w:spacing w:line="360" w:lineRule="auto"/>
        <w:jc w:val="both"/>
        <w:rPr>
          <w:rFonts w:cs="David"/>
          <w:rtl/>
        </w:rPr>
      </w:pPr>
      <w:r>
        <w:rPr>
          <w:rFonts w:cs="David"/>
          <w:rtl/>
        </w:rPr>
        <w:tab/>
      </w:r>
    </w:p>
    <w:p w14:paraId="1654218E" w14:textId="77777777" w:rsidR="005F3DAB" w:rsidRPr="007628A1" w:rsidRDefault="005F3DAB" w:rsidP="005F3DAB">
      <w:pPr>
        <w:spacing w:line="360" w:lineRule="auto"/>
        <w:ind w:left="360"/>
        <w:jc w:val="both"/>
        <w:rPr>
          <w:rFonts w:cs="David"/>
          <w:rtl/>
        </w:rPr>
      </w:pPr>
      <w:r w:rsidRPr="007628A1">
        <w:rPr>
          <w:rFonts w:cs="David"/>
          <w:rtl/>
        </w:rPr>
        <w:t xml:space="preserve">       _______________</w:t>
      </w:r>
      <w:r w:rsidRPr="007628A1">
        <w:rPr>
          <w:rFonts w:cs="David"/>
          <w:rtl/>
        </w:rPr>
        <w:tab/>
        <w:t xml:space="preserve">       _______________</w:t>
      </w:r>
      <w:r w:rsidRPr="007628A1">
        <w:rPr>
          <w:rFonts w:cs="David"/>
          <w:rtl/>
        </w:rPr>
        <w:tab/>
        <w:t xml:space="preserve">       ______________</w:t>
      </w:r>
    </w:p>
    <w:p w14:paraId="3497FA89" w14:textId="77777777" w:rsidR="005F3DAB" w:rsidRPr="00187648" w:rsidRDefault="005F3DAB" w:rsidP="005F3DAB">
      <w:pPr>
        <w:spacing w:line="360" w:lineRule="auto"/>
        <w:ind w:left="360"/>
        <w:jc w:val="both"/>
        <w:rPr>
          <w:rFonts w:cs="David"/>
          <w:rtl/>
        </w:rPr>
      </w:pPr>
      <w:r>
        <w:rPr>
          <w:rFonts w:cs="David" w:hint="cs"/>
          <w:b/>
          <w:bCs/>
          <w:rtl/>
        </w:rPr>
        <w:t>רפי גמליאל</w:t>
      </w:r>
      <w:r w:rsidRPr="00D21047">
        <w:rPr>
          <w:rFonts w:cs="David"/>
          <w:b/>
          <w:bCs/>
          <w:rtl/>
        </w:rPr>
        <w:tab/>
      </w:r>
      <w:r w:rsidRPr="00D21047">
        <w:rPr>
          <w:rFonts w:cs="David" w:hint="cs"/>
          <w:b/>
          <w:bCs/>
          <w:rtl/>
        </w:rPr>
        <w:tab/>
      </w:r>
      <w:r w:rsidRPr="00D21047">
        <w:rPr>
          <w:rFonts w:cs="David" w:hint="cs"/>
          <w:b/>
          <w:bCs/>
          <w:rtl/>
        </w:rPr>
        <w:tab/>
      </w:r>
      <w:r>
        <w:rPr>
          <w:rFonts w:cs="David" w:hint="cs"/>
          <w:b/>
          <w:bCs/>
          <w:rtl/>
        </w:rPr>
        <w:tab/>
      </w:r>
      <w:r w:rsidRPr="00D21047">
        <w:rPr>
          <w:rFonts w:cs="David"/>
          <w:b/>
          <w:bCs/>
          <w:rtl/>
        </w:rPr>
        <w:t xml:space="preserve">ניר רשף, עו"ד </w:t>
      </w:r>
      <w:r w:rsidRPr="00D21047">
        <w:rPr>
          <w:rFonts w:cs="David" w:hint="cs"/>
          <w:b/>
          <w:bCs/>
          <w:rtl/>
        </w:rPr>
        <w:t xml:space="preserve"> </w:t>
      </w:r>
      <w:r w:rsidRPr="00D21047">
        <w:rPr>
          <w:rFonts w:cs="David" w:hint="cs"/>
          <w:b/>
          <w:bCs/>
          <w:rtl/>
        </w:rPr>
        <w:tab/>
      </w:r>
      <w:r>
        <w:rPr>
          <w:rFonts w:cs="David" w:hint="cs"/>
          <w:b/>
          <w:bCs/>
          <w:rtl/>
        </w:rPr>
        <w:tab/>
      </w:r>
      <w:r>
        <w:rPr>
          <w:rFonts w:cs="David" w:hint="cs"/>
          <w:b/>
          <w:bCs/>
          <w:rtl/>
        </w:rPr>
        <w:tab/>
      </w:r>
      <w:r w:rsidRPr="00D21047">
        <w:rPr>
          <w:rFonts w:cs="David"/>
          <w:b/>
          <w:bCs/>
          <w:rtl/>
        </w:rPr>
        <w:t xml:space="preserve">דורון אגוזי, עו"ד חבר ועדה </w:t>
      </w:r>
      <w:r w:rsidRPr="00D21047">
        <w:rPr>
          <w:rFonts w:cs="David" w:hint="cs"/>
          <w:b/>
          <w:bCs/>
          <w:rtl/>
        </w:rPr>
        <w:tab/>
      </w:r>
      <w:r w:rsidRPr="00D21047">
        <w:rPr>
          <w:rFonts w:cs="David" w:hint="cs"/>
          <w:b/>
          <w:bCs/>
          <w:rtl/>
        </w:rPr>
        <w:tab/>
      </w:r>
      <w:r w:rsidRPr="00D21047">
        <w:rPr>
          <w:rFonts w:cs="David" w:hint="cs"/>
          <w:b/>
          <w:bCs/>
          <w:rtl/>
        </w:rPr>
        <w:tab/>
      </w:r>
      <w:r w:rsidRPr="00D21047">
        <w:rPr>
          <w:rFonts w:cs="David" w:hint="cs"/>
          <w:b/>
          <w:bCs/>
          <w:rtl/>
        </w:rPr>
        <w:tab/>
      </w:r>
      <w:r w:rsidRPr="00D21047">
        <w:rPr>
          <w:rFonts w:cs="David"/>
          <w:b/>
          <w:bCs/>
          <w:rtl/>
        </w:rPr>
        <w:t xml:space="preserve">יו"ר ועדה </w:t>
      </w:r>
      <w:r w:rsidRPr="00D21047">
        <w:rPr>
          <w:rFonts w:cs="David" w:hint="cs"/>
          <w:b/>
          <w:bCs/>
          <w:rtl/>
        </w:rPr>
        <w:tab/>
      </w:r>
      <w:r w:rsidRPr="00D21047">
        <w:rPr>
          <w:rFonts w:cs="David" w:hint="cs"/>
          <w:b/>
          <w:bCs/>
          <w:rtl/>
        </w:rPr>
        <w:tab/>
      </w:r>
      <w:r w:rsidRPr="00D21047">
        <w:rPr>
          <w:rFonts w:cs="David" w:hint="cs"/>
          <w:b/>
          <w:bCs/>
          <w:rtl/>
        </w:rPr>
        <w:tab/>
      </w:r>
      <w:r w:rsidRPr="00D21047">
        <w:rPr>
          <w:rFonts w:cs="David"/>
          <w:b/>
          <w:bCs/>
          <w:rtl/>
        </w:rPr>
        <w:t>חבר ועדה</w:t>
      </w:r>
    </w:p>
    <w:p w14:paraId="31DC1CD7" w14:textId="77777777" w:rsidR="00DD2574" w:rsidRPr="00D80398" w:rsidRDefault="00DD2574" w:rsidP="00A77870">
      <w:pPr>
        <w:spacing w:line="360" w:lineRule="auto"/>
        <w:ind w:left="360"/>
        <w:jc w:val="both"/>
        <w:rPr>
          <w:rFonts w:cs="David"/>
          <w:rtl/>
        </w:rPr>
      </w:pPr>
    </w:p>
    <w:sectPr w:rsidR="00DD2574" w:rsidRPr="00D80398" w:rsidSect="00824E5C">
      <w:headerReference w:type="default" r:id="rId11"/>
      <w:footerReference w:type="even" r:id="rId12"/>
      <w:footerReference w:type="default" r:id="rId1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47F5" w14:textId="77777777" w:rsidR="00821B6A" w:rsidRDefault="00821B6A">
      <w:r>
        <w:separator/>
      </w:r>
    </w:p>
  </w:endnote>
  <w:endnote w:type="continuationSeparator" w:id="0">
    <w:p w14:paraId="38CBEA14" w14:textId="77777777" w:rsidR="00821B6A" w:rsidRDefault="0082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6879" w14:textId="77777777" w:rsidR="00397D38" w:rsidRDefault="00397D38" w:rsidP="004D63CC">
    <w:pPr>
      <w:pStyle w:val="a5"/>
      <w:framePr w:wrap="around" w:vAnchor="text" w:hAnchor="text" w:xAlign="center" w:y="1"/>
      <w:rPr>
        <w:rStyle w:val="ac"/>
      </w:rPr>
    </w:pPr>
    <w:r>
      <w:rPr>
        <w:rStyle w:val="ac"/>
        <w:rtl/>
      </w:rPr>
      <w:fldChar w:fldCharType="begin"/>
    </w:r>
    <w:r>
      <w:rPr>
        <w:rStyle w:val="ac"/>
      </w:rPr>
      <w:instrText xml:space="preserve">PAGE  </w:instrText>
    </w:r>
    <w:r>
      <w:rPr>
        <w:rStyle w:val="ac"/>
        <w:rtl/>
      </w:rPr>
      <w:fldChar w:fldCharType="end"/>
    </w:r>
  </w:p>
  <w:p w14:paraId="0C4ECCA4" w14:textId="77777777" w:rsidR="00397D38" w:rsidRDefault="00397D38" w:rsidP="00D92BD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B326" w14:textId="77777777" w:rsidR="00397D38" w:rsidRDefault="00397D38" w:rsidP="00402230">
    <w:pPr>
      <w:pStyle w:val="a5"/>
      <w:framePr w:wrap="around" w:vAnchor="text" w:hAnchor="text" w:xAlign="center" w:y="1"/>
      <w:rPr>
        <w:rStyle w:val="ac"/>
      </w:rPr>
    </w:pPr>
    <w:r>
      <w:rPr>
        <w:rStyle w:val="ac"/>
        <w:rtl/>
      </w:rPr>
      <w:fldChar w:fldCharType="begin"/>
    </w:r>
    <w:r>
      <w:rPr>
        <w:rStyle w:val="ac"/>
      </w:rPr>
      <w:instrText xml:space="preserve">PAGE  </w:instrText>
    </w:r>
    <w:r>
      <w:rPr>
        <w:rStyle w:val="ac"/>
        <w:rtl/>
      </w:rPr>
      <w:fldChar w:fldCharType="separate"/>
    </w:r>
    <w:r w:rsidR="00573405">
      <w:rPr>
        <w:rStyle w:val="ac"/>
        <w:noProof/>
        <w:rtl/>
      </w:rPr>
      <w:t>7</w:t>
    </w:r>
    <w:r>
      <w:rPr>
        <w:rStyle w:val="ac"/>
        <w:rtl/>
      </w:rPr>
      <w:fldChar w:fldCharType="end"/>
    </w:r>
    <w:r>
      <w:rPr>
        <w:rStyle w:val="ac"/>
        <w:rFonts w:hint="cs"/>
        <w:rtl/>
      </w:rPr>
      <w:t xml:space="preserve"> </w:t>
    </w:r>
  </w:p>
  <w:p w14:paraId="12FF6684" w14:textId="77777777" w:rsidR="00397D38" w:rsidRPr="007861F5" w:rsidRDefault="00397D38" w:rsidP="00420137">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965C" w14:textId="77777777" w:rsidR="00821B6A" w:rsidRDefault="00821B6A">
      <w:r>
        <w:separator/>
      </w:r>
    </w:p>
  </w:footnote>
  <w:footnote w:type="continuationSeparator" w:id="0">
    <w:p w14:paraId="31B4FA2D" w14:textId="77777777" w:rsidR="00821B6A" w:rsidRDefault="00821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4662" w14:textId="18F0A5CD" w:rsidR="00397D38" w:rsidRPr="00AB6AE6" w:rsidRDefault="00397D38" w:rsidP="00580279">
    <w:pPr>
      <w:spacing w:line="360" w:lineRule="auto"/>
      <w:jc w:val="both"/>
      <w:rPr>
        <w:rFonts w:cs="David"/>
        <w:b/>
        <w:bCs/>
        <w:rtl/>
      </w:rPr>
    </w:pPr>
    <w:r w:rsidRPr="00AB6AE6">
      <w:rPr>
        <w:rFonts w:cs="David" w:hint="cs"/>
        <w:b/>
        <w:bCs/>
        <w:rtl/>
      </w:rPr>
      <w:t xml:space="preserve">בפני ועדת הערר </w:t>
    </w:r>
    <w:r w:rsidRPr="00AB6AE6">
      <w:rPr>
        <w:rFonts w:cs="David"/>
        <w:b/>
        <w:bCs/>
        <w:rtl/>
      </w:rPr>
      <w:t>–</w:t>
    </w:r>
    <w:r w:rsidRPr="00AB6AE6">
      <w:rPr>
        <w:rFonts w:cs="David" w:hint="cs"/>
        <w:b/>
        <w:bCs/>
        <w:rtl/>
      </w:rPr>
      <w:t xml:space="preserve"> עיריית גבעתיים</w:t>
    </w:r>
    <w:r w:rsidRPr="00EA3E39">
      <w:rPr>
        <w:rFonts w:cs="David" w:hint="cs"/>
        <w:rtl/>
      </w:rPr>
      <w:t xml:space="preserve"> </w:t>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sidRPr="00187648">
      <w:rPr>
        <w:rFonts w:cs="David" w:hint="cs"/>
        <w:rtl/>
      </w:rPr>
      <w:t xml:space="preserve">ערר </w:t>
    </w:r>
    <w:r w:rsidR="0008252E">
      <w:rPr>
        <w:rFonts w:cs="David" w:hint="cs"/>
        <w:rtl/>
      </w:rPr>
      <w:t>15/17</w:t>
    </w:r>
  </w:p>
  <w:p w14:paraId="12460B73" w14:textId="77777777" w:rsidR="00397D38" w:rsidRPr="00187648" w:rsidRDefault="00397D38" w:rsidP="009E34E6">
    <w:pPr>
      <w:spacing w:line="360" w:lineRule="auto"/>
      <w:jc w:val="both"/>
      <w:rPr>
        <w:rFonts w:cs="David"/>
        <w:rtl/>
      </w:rPr>
    </w:pPr>
    <w:r w:rsidRPr="00EA3E39">
      <w:rPr>
        <w:rFonts w:cs="David" w:hint="cs"/>
        <w:b/>
        <w:bCs/>
        <w:sz w:val="22"/>
        <w:szCs w:val="22"/>
        <w:rtl/>
      </w:rPr>
      <w:t xml:space="preserve">לפי חוק הרשויות המקומיות (ערר על קביעת ארנונה כללית) תשל"ו </w:t>
    </w:r>
    <w:r w:rsidRPr="00EA3E39">
      <w:rPr>
        <w:rFonts w:cs="David"/>
        <w:b/>
        <w:bCs/>
        <w:sz w:val="22"/>
        <w:szCs w:val="22"/>
        <w:rtl/>
      </w:rPr>
      <w:t>–</w:t>
    </w:r>
    <w:r w:rsidRPr="00EA3E39">
      <w:rPr>
        <w:rFonts w:cs="David" w:hint="cs"/>
        <w:b/>
        <w:bCs/>
        <w:sz w:val="22"/>
        <w:szCs w:val="22"/>
        <w:rtl/>
      </w:rPr>
      <w:t xml:space="preserve"> 1977</w:t>
    </w:r>
    <w:r>
      <w:rPr>
        <w:rFonts w:cs="David" w:hint="cs"/>
        <w:rtl/>
      </w:rPr>
      <w:tab/>
    </w:r>
    <w:r w:rsidRPr="00187648">
      <w:rPr>
        <w:rFonts w:cs="David" w:hint="cs"/>
        <w:rtl/>
      </w:rPr>
      <w:t xml:space="preserve"> </w:t>
    </w:r>
  </w:p>
  <w:p w14:paraId="2431F932" w14:textId="54D04F03" w:rsidR="00397D38" w:rsidRPr="00580279" w:rsidRDefault="00E50FBE" w:rsidP="009E34E6">
    <w:pPr>
      <w:tabs>
        <w:tab w:val="left" w:pos="7406"/>
      </w:tabs>
      <w:spacing w:line="360" w:lineRule="auto"/>
      <w:ind w:left="6506" w:hanging="6480"/>
      <w:rPr>
        <w:rFonts w:cs="David"/>
        <w:rtl/>
      </w:rPr>
    </w:pPr>
    <w:r>
      <w:rPr>
        <w:rFonts w:cs="David" w:hint="cs"/>
        <w:sz w:val="28"/>
        <w:rtl/>
      </w:rPr>
      <w:t>רונית מקובר</w:t>
    </w:r>
    <w:r w:rsidR="00397D38" w:rsidRPr="00580279">
      <w:rPr>
        <w:rFonts w:cs="David" w:hint="cs"/>
        <w:rtl/>
      </w:rPr>
      <w:t xml:space="preserve">  נ' מנהל הארנונה </w:t>
    </w:r>
    <w:r w:rsidR="00397D38" w:rsidRPr="00580279">
      <w:rPr>
        <w:rFonts w:cs="David" w:hint="cs"/>
        <w:rtl/>
      </w:rPr>
      <w:tab/>
    </w:r>
  </w:p>
  <w:p w14:paraId="2C31B268" w14:textId="77777777" w:rsidR="00397D38" w:rsidRDefault="00397D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A09"/>
    <w:multiLevelType w:val="hybridMultilevel"/>
    <w:tmpl w:val="31B667D4"/>
    <w:lvl w:ilvl="0" w:tplc="23BA1820">
      <w:start w:val="1"/>
      <w:numFmt w:val="decimal"/>
      <w:lvlText w:val="%1."/>
      <w:lvlJc w:val="left"/>
      <w:pPr>
        <w:tabs>
          <w:tab w:val="num" w:pos="1080"/>
        </w:tabs>
        <w:ind w:left="1080" w:hanging="720"/>
      </w:pPr>
      <w:rPr>
        <w:rFonts w:hint="default"/>
        <w:lang w:bidi="he-IL"/>
      </w:rPr>
    </w:lvl>
    <w:lvl w:ilvl="1" w:tplc="4754D7D0">
      <w:start w:val="1"/>
      <w:numFmt w:val="hebrew1"/>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2F3C48"/>
    <w:multiLevelType w:val="hybridMultilevel"/>
    <w:tmpl w:val="4C2EDFFC"/>
    <w:lvl w:ilvl="0" w:tplc="B560A26C">
      <w:start w:val="1"/>
      <w:numFmt w:val="decimal"/>
      <w:lvlText w:val="%1."/>
      <w:lvlJc w:val="left"/>
      <w:pPr>
        <w:tabs>
          <w:tab w:val="num" w:pos="360"/>
        </w:tabs>
        <w:ind w:left="360" w:right="360" w:hanging="360"/>
      </w:pPr>
    </w:lvl>
    <w:lvl w:ilvl="1" w:tplc="040D0019">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right="2160" w:hanging="360"/>
      </w:pPr>
    </w:lvl>
    <w:lvl w:ilvl="3" w:tplc="040D000F">
      <w:start w:val="1"/>
      <w:numFmt w:val="decimal"/>
      <w:lvlText w:val="%4."/>
      <w:lvlJc w:val="left"/>
      <w:pPr>
        <w:tabs>
          <w:tab w:val="num" w:pos="2880"/>
        </w:tabs>
        <w:ind w:left="2880" w:right="2880" w:hanging="360"/>
      </w:pPr>
    </w:lvl>
    <w:lvl w:ilvl="4" w:tplc="040D0019">
      <w:start w:val="1"/>
      <w:numFmt w:val="decimal"/>
      <w:lvlText w:val="%5."/>
      <w:lvlJc w:val="left"/>
      <w:pPr>
        <w:tabs>
          <w:tab w:val="num" w:pos="3600"/>
        </w:tabs>
        <w:ind w:left="3600" w:right="3600" w:hanging="360"/>
      </w:pPr>
    </w:lvl>
    <w:lvl w:ilvl="5" w:tplc="040D001B">
      <w:start w:val="1"/>
      <w:numFmt w:val="decimal"/>
      <w:lvlText w:val="%6."/>
      <w:lvlJc w:val="left"/>
      <w:pPr>
        <w:tabs>
          <w:tab w:val="num" w:pos="4320"/>
        </w:tabs>
        <w:ind w:left="4320" w:right="4320" w:hanging="360"/>
      </w:pPr>
    </w:lvl>
    <w:lvl w:ilvl="6" w:tplc="040D000F">
      <w:start w:val="1"/>
      <w:numFmt w:val="decimal"/>
      <w:lvlText w:val="%7."/>
      <w:lvlJc w:val="left"/>
      <w:pPr>
        <w:tabs>
          <w:tab w:val="num" w:pos="5040"/>
        </w:tabs>
        <w:ind w:left="5040" w:right="5040" w:hanging="360"/>
      </w:pPr>
    </w:lvl>
    <w:lvl w:ilvl="7" w:tplc="040D0019">
      <w:start w:val="1"/>
      <w:numFmt w:val="decimal"/>
      <w:lvlText w:val="%8."/>
      <w:lvlJc w:val="left"/>
      <w:pPr>
        <w:tabs>
          <w:tab w:val="num" w:pos="5760"/>
        </w:tabs>
        <w:ind w:left="5760" w:right="5760" w:hanging="360"/>
      </w:pPr>
    </w:lvl>
    <w:lvl w:ilvl="8" w:tplc="040D001B">
      <w:start w:val="1"/>
      <w:numFmt w:val="decimal"/>
      <w:lvlText w:val="%9."/>
      <w:lvlJc w:val="left"/>
      <w:pPr>
        <w:tabs>
          <w:tab w:val="num" w:pos="6480"/>
        </w:tabs>
        <w:ind w:left="6480" w:right="6480" w:hanging="360"/>
      </w:pPr>
    </w:lvl>
  </w:abstractNum>
  <w:abstractNum w:abstractNumId="2" w15:restartNumberingAfterBreak="0">
    <w:nsid w:val="19D52482"/>
    <w:multiLevelType w:val="hybridMultilevel"/>
    <w:tmpl w:val="E38AE194"/>
    <w:lvl w:ilvl="0" w:tplc="CCA8C8C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E245E32"/>
    <w:multiLevelType w:val="multilevel"/>
    <w:tmpl w:val="0409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DD237E"/>
    <w:multiLevelType w:val="multilevel"/>
    <w:tmpl w:val="C142B0BA"/>
    <w:lvl w:ilvl="0">
      <w:start w:val="1"/>
      <w:numFmt w:val="decimal"/>
      <w:lvlText w:val="%1."/>
      <w:lvlJc w:val="left"/>
      <w:pPr>
        <w:ind w:left="360" w:hanging="360"/>
      </w:pPr>
      <w:rPr>
        <w:rFonts w:hint="default"/>
        <w:b w:val="0"/>
        <w:bCs w:val="0"/>
      </w:rPr>
    </w:lvl>
    <w:lvl w:ilvl="1">
      <w:start w:val="1"/>
      <w:numFmt w:val="decimal"/>
      <w:lvlText w:val="%1.%2."/>
      <w:lvlJc w:val="left"/>
      <w:pPr>
        <w:ind w:left="792" w:hanging="735"/>
      </w:pPr>
      <w:rPr>
        <w:rFonts w:hint="default"/>
        <w:b w:val="0"/>
        <w:bCs w:val="0"/>
        <w:lang w:bidi="he-IL"/>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764BC3"/>
    <w:multiLevelType w:val="hybridMultilevel"/>
    <w:tmpl w:val="95DCBFFA"/>
    <w:lvl w:ilvl="0" w:tplc="60F05446">
      <w:start w:val="12"/>
      <w:numFmt w:val="decimal"/>
      <w:lvlText w:val="%1."/>
      <w:lvlJc w:val="left"/>
      <w:pPr>
        <w:tabs>
          <w:tab w:val="num" w:pos="386"/>
        </w:tabs>
        <w:ind w:left="386" w:hanging="360"/>
      </w:pPr>
      <w:rPr>
        <w:rFonts w:hint="default"/>
      </w:rPr>
    </w:lvl>
    <w:lvl w:ilvl="1" w:tplc="04090019">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6" w15:restartNumberingAfterBreak="0">
    <w:nsid w:val="3D07065A"/>
    <w:multiLevelType w:val="hybridMultilevel"/>
    <w:tmpl w:val="DEEEE64E"/>
    <w:lvl w:ilvl="0" w:tplc="618A84B0">
      <w:start w:val="1"/>
      <w:numFmt w:val="decimal"/>
      <w:lvlText w:val="%1."/>
      <w:lvlJc w:val="left"/>
      <w:pPr>
        <w:tabs>
          <w:tab w:val="num" w:pos="1080"/>
        </w:tabs>
        <w:ind w:left="1080" w:hanging="720"/>
      </w:pPr>
      <w:rPr>
        <w:rFonts w:hint="default"/>
      </w:rPr>
    </w:lvl>
    <w:lvl w:ilvl="1" w:tplc="0442AF1A">
      <w:start w:val="1"/>
      <w:numFmt w:val="hebrew1"/>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4D4043"/>
    <w:multiLevelType w:val="hybridMultilevel"/>
    <w:tmpl w:val="CD18CF6A"/>
    <w:lvl w:ilvl="0" w:tplc="E9ECAFF4">
      <w:start w:val="3"/>
      <w:numFmt w:val="hebrew1"/>
      <w:lvlText w:val="%1."/>
      <w:lvlJc w:val="left"/>
      <w:pPr>
        <w:tabs>
          <w:tab w:val="num" w:pos="1466"/>
        </w:tabs>
        <w:ind w:left="1466" w:hanging="360"/>
      </w:pPr>
      <w:rPr>
        <w:rFonts w:hint="default"/>
      </w:r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8" w15:restartNumberingAfterBreak="0">
    <w:nsid w:val="798F3D2B"/>
    <w:multiLevelType w:val="multilevel"/>
    <w:tmpl w:val="5DC49608"/>
    <w:lvl w:ilvl="0">
      <w:start w:val="1"/>
      <w:numFmt w:val="decimal"/>
      <w:pStyle w:val="a"/>
      <w:lvlText w:val="%1."/>
      <w:lvlJc w:val="right"/>
      <w:pPr>
        <w:tabs>
          <w:tab w:val="num" w:pos="737"/>
        </w:tabs>
        <w:ind w:left="737" w:hanging="567"/>
      </w:pPr>
      <w:rPr>
        <w:b w:val="0"/>
        <w:bCs w:val="0"/>
        <w:i w:val="0"/>
        <w:iCs w:val="0"/>
        <w:strike w:val="0"/>
        <w:dstrike w:val="0"/>
        <w:u w:val="none"/>
        <w:effect w:val="none"/>
      </w:rPr>
    </w:lvl>
    <w:lvl w:ilvl="1">
      <w:start w:val="1"/>
      <w:numFmt w:val="hebrew1"/>
      <w:lvlText w:val="%2."/>
      <w:lvlJc w:val="right"/>
      <w:pPr>
        <w:tabs>
          <w:tab w:val="num" w:pos="1051"/>
        </w:tabs>
        <w:ind w:left="1051" w:hanging="511"/>
      </w:pPr>
      <w:rPr>
        <w:szCs w:val="24"/>
      </w:rPr>
    </w:lvl>
    <w:lvl w:ilvl="2">
      <w:start w:val="1"/>
      <w:numFmt w:val="decimal"/>
      <w:lvlText w:val="%3)"/>
      <w:lvlJc w:val="right"/>
      <w:pPr>
        <w:tabs>
          <w:tab w:val="num" w:pos="2155"/>
        </w:tabs>
        <w:ind w:left="2155" w:hanging="567"/>
      </w:pPr>
    </w:lvl>
    <w:lvl w:ilvl="3">
      <w:start w:val="1"/>
      <w:numFmt w:val="hebrew1"/>
      <w:lvlText w:val="(%4)"/>
      <w:lvlJc w:val="right"/>
      <w:pPr>
        <w:tabs>
          <w:tab w:val="num" w:pos="2892"/>
        </w:tabs>
        <w:ind w:left="2892" w:hanging="511"/>
      </w:pPr>
      <w:rPr>
        <w:szCs w:val="24"/>
      </w:rPr>
    </w:lvl>
    <w:lvl w:ilvl="4">
      <w:start w:val="1"/>
      <w:numFmt w:val="decimal"/>
      <w:lvlText w:val="(%5)"/>
      <w:lvlJc w:val="right"/>
      <w:pPr>
        <w:tabs>
          <w:tab w:val="num" w:pos="3629"/>
        </w:tabs>
        <w:ind w:left="3629" w:hanging="567"/>
      </w:pPr>
    </w:lvl>
    <w:lvl w:ilvl="5">
      <w:start w:val="1"/>
      <w:numFmt w:val="hebrew1"/>
      <w:lvlText w:val="%6."/>
      <w:lvlJc w:val="right"/>
      <w:pPr>
        <w:tabs>
          <w:tab w:val="num" w:pos="0"/>
        </w:tabs>
        <w:ind w:left="3402" w:hanging="567"/>
      </w:pPr>
      <w:rPr>
        <w:szCs w:val="24"/>
      </w:rPr>
    </w:lvl>
    <w:lvl w:ilvl="6">
      <w:start w:val="1"/>
      <w:numFmt w:val="cardinalText"/>
      <w:lvlText w:val="%7)"/>
      <w:lvlJc w:val="right"/>
      <w:pPr>
        <w:tabs>
          <w:tab w:val="num" w:pos="0"/>
        </w:tabs>
        <w:ind w:left="3969" w:hanging="567"/>
      </w:pPr>
    </w:lvl>
    <w:lvl w:ilvl="7">
      <w:start w:val="1"/>
      <w:numFmt w:val="cardinalText"/>
      <w:lvlText w:val="(%8)"/>
      <w:lvlJc w:val="right"/>
      <w:pPr>
        <w:tabs>
          <w:tab w:val="num" w:pos="0"/>
        </w:tabs>
        <w:ind w:left="4536" w:hanging="567"/>
      </w:pPr>
    </w:lvl>
    <w:lvl w:ilvl="8">
      <w:start w:val="1"/>
      <w:numFmt w:val="ordinal"/>
      <w:lvlText w:val="%9."/>
      <w:lvlJc w:val="right"/>
      <w:pPr>
        <w:tabs>
          <w:tab w:val="num" w:pos="0"/>
        </w:tabs>
        <w:ind w:left="5103" w:hanging="567"/>
      </w:pPr>
    </w:lvl>
  </w:abstractNum>
  <w:abstractNum w:abstractNumId="9" w15:restartNumberingAfterBreak="0">
    <w:nsid w:val="7FA531F5"/>
    <w:multiLevelType w:val="hybridMultilevel"/>
    <w:tmpl w:val="0FF461C4"/>
    <w:lvl w:ilvl="0" w:tplc="18F49B78">
      <w:start w:val="1"/>
      <w:numFmt w:val="decimal"/>
      <w:lvlText w:val="%1."/>
      <w:lvlJc w:val="left"/>
      <w:pPr>
        <w:tabs>
          <w:tab w:val="num" w:pos="1080"/>
        </w:tabs>
        <w:ind w:left="1080" w:hanging="720"/>
      </w:pPr>
      <w:rPr>
        <w:rFonts w:cs="David"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9"/>
  </w:num>
  <w:num w:numId="8">
    <w:abstractNumId w:val="5"/>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E5C"/>
    <w:rsid w:val="000001AB"/>
    <w:rsid w:val="0001268F"/>
    <w:rsid w:val="00012962"/>
    <w:rsid w:val="000151FE"/>
    <w:rsid w:val="00015F64"/>
    <w:rsid w:val="000229D9"/>
    <w:rsid w:val="000230BE"/>
    <w:rsid w:val="000270F1"/>
    <w:rsid w:val="000303B0"/>
    <w:rsid w:val="000422BE"/>
    <w:rsid w:val="0004263B"/>
    <w:rsid w:val="00045E76"/>
    <w:rsid w:val="000559A8"/>
    <w:rsid w:val="00055D60"/>
    <w:rsid w:val="00056491"/>
    <w:rsid w:val="00063285"/>
    <w:rsid w:val="000645C0"/>
    <w:rsid w:val="00065298"/>
    <w:rsid w:val="00081E90"/>
    <w:rsid w:val="0008252E"/>
    <w:rsid w:val="00090C0B"/>
    <w:rsid w:val="00092DD7"/>
    <w:rsid w:val="00093D39"/>
    <w:rsid w:val="00096444"/>
    <w:rsid w:val="0009793A"/>
    <w:rsid w:val="000C0696"/>
    <w:rsid w:val="000C1459"/>
    <w:rsid w:val="000D1CC5"/>
    <w:rsid w:val="000E463B"/>
    <w:rsid w:val="000E493E"/>
    <w:rsid w:val="000E4BB2"/>
    <w:rsid w:val="000E64C0"/>
    <w:rsid w:val="000F19E8"/>
    <w:rsid w:val="00110535"/>
    <w:rsid w:val="00117167"/>
    <w:rsid w:val="001207C2"/>
    <w:rsid w:val="00124954"/>
    <w:rsid w:val="00127BE8"/>
    <w:rsid w:val="001352B8"/>
    <w:rsid w:val="00145B64"/>
    <w:rsid w:val="00153698"/>
    <w:rsid w:val="00180518"/>
    <w:rsid w:val="00185900"/>
    <w:rsid w:val="00187648"/>
    <w:rsid w:val="00190A44"/>
    <w:rsid w:val="001934D5"/>
    <w:rsid w:val="001A1514"/>
    <w:rsid w:val="001C3E45"/>
    <w:rsid w:val="001D01AC"/>
    <w:rsid w:val="001D122A"/>
    <w:rsid w:val="001D1E17"/>
    <w:rsid w:val="001D3F95"/>
    <w:rsid w:val="001D5051"/>
    <w:rsid w:val="001D7348"/>
    <w:rsid w:val="001E10E9"/>
    <w:rsid w:val="001E40ED"/>
    <w:rsid w:val="001F2F05"/>
    <w:rsid w:val="001F7289"/>
    <w:rsid w:val="001F7AE9"/>
    <w:rsid w:val="00200CCC"/>
    <w:rsid w:val="002128CA"/>
    <w:rsid w:val="00227FA3"/>
    <w:rsid w:val="002426AC"/>
    <w:rsid w:val="00245D8C"/>
    <w:rsid w:val="002540FB"/>
    <w:rsid w:val="0025543C"/>
    <w:rsid w:val="002703EB"/>
    <w:rsid w:val="00273ACC"/>
    <w:rsid w:val="00281F47"/>
    <w:rsid w:val="002829BA"/>
    <w:rsid w:val="00283652"/>
    <w:rsid w:val="002A5573"/>
    <w:rsid w:val="002B74CF"/>
    <w:rsid w:val="002C266D"/>
    <w:rsid w:val="002C4E9A"/>
    <w:rsid w:val="002D1B57"/>
    <w:rsid w:val="002D50DE"/>
    <w:rsid w:val="002D5107"/>
    <w:rsid w:val="002D5E19"/>
    <w:rsid w:val="002F013C"/>
    <w:rsid w:val="003014DF"/>
    <w:rsid w:val="00320B43"/>
    <w:rsid w:val="003342C2"/>
    <w:rsid w:val="003343E2"/>
    <w:rsid w:val="0034139D"/>
    <w:rsid w:val="00341638"/>
    <w:rsid w:val="00350AD0"/>
    <w:rsid w:val="00353234"/>
    <w:rsid w:val="003576DC"/>
    <w:rsid w:val="00357E7D"/>
    <w:rsid w:val="00384814"/>
    <w:rsid w:val="003938F1"/>
    <w:rsid w:val="003961E5"/>
    <w:rsid w:val="00397D38"/>
    <w:rsid w:val="003A732F"/>
    <w:rsid w:val="003B2AB8"/>
    <w:rsid w:val="003B4C68"/>
    <w:rsid w:val="003C0475"/>
    <w:rsid w:val="003C4BC5"/>
    <w:rsid w:val="003E6D40"/>
    <w:rsid w:val="003F0785"/>
    <w:rsid w:val="003F120F"/>
    <w:rsid w:val="003F1FB5"/>
    <w:rsid w:val="00400FCB"/>
    <w:rsid w:val="00402230"/>
    <w:rsid w:val="004035A0"/>
    <w:rsid w:val="00410908"/>
    <w:rsid w:val="0041630B"/>
    <w:rsid w:val="00420137"/>
    <w:rsid w:val="004203C5"/>
    <w:rsid w:val="00421FDE"/>
    <w:rsid w:val="004236D3"/>
    <w:rsid w:val="00424BD8"/>
    <w:rsid w:val="00425473"/>
    <w:rsid w:val="00430B2D"/>
    <w:rsid w:val="0043616E"/>
    <w:rsid w:val="0044083B"/>
    <w:rsid w:val="00440929"/>
    <w:rsid w:val="00446196"/>
    <w:rsid w:val="00453BDB"/>
    <w:rsid w:val="0045571B"/>
    <w:rsid w:val="00465C26"/>
    <w:rsid w:val="00492A29"/>
    <w:rsid w:val="00493839"/>
    <w:rsid w:val="00495528"/>
    <w:rsid w:val="00497467"/>
    <w:rsid w:val="004A0CD2"/>
    <w:rsid w:val="004B335B"/>
    <w:rsid w:val="004B443F"/>
    <w:rsid w:val="004D3A33"/>
    <w:rsid w:val="004D63CC"/>
    <w:rsid w:val="004E7ABF"/>
    <w:rsid w:val="004F1560"/>
    <w:rsid w:val="004F31B6"/>
    <w:rsid w:val="004F73DE"/>
    <w:rsid w:val="00501F78"/>
    <w:rsid w:val="00504972"/>
    <w:rsid w:val="00504EA3"/>
    <w:rsid w:val="00505706"/>
    <w:rsid w:val="005107B9"/>
    <w:rsid w:val="00513BBC"/>
    <w:rsid w:val="00517EFE"/>
    <w:rsid w:val="0052013B"/>
    <w:rsid w:val="00526BE3"/>
    <w:rsid w:val="005270D8"/>
    <w:rsid w:val="00535F27"/>
    <w:rsid w:val="0053679D"/>
    <w:rsid w:val="00541FFE"/>
    <w:rsid w:val="005451E7"/>
    <w:rsid w:val="005471AD"/>
    <w:rsid w:val="00547B8C"/>
    <w:rsid w:val="00547DBB"/>
    <w:rsid w:val="005513FA"/>
    <w:rsid w:val="005542D3"/>
    <w:rsid w:val="00556E04"/>
    <w:rsid w:val="00563586"/>
    <w:rsid w:val="005649DC"/>
    <w:rsid w:val="00573405"/>
    <w:rsid w:val="00580279"/>
    <w:rsid w:val="0059388B"/>
    <w:rsid w:val="005A11B0"/>
    <w:rsid w:val="005A136B"/>
    <w:rsid w:val="005B1CA9"/>
    <w:rsid w:val="005B3425"/>
    <w:rsid w:val="005B7B32"/>
    <w:rsid w:val="005C5803"/>
    <w:rsid w:val="005C70BC"/>
    <w:rsid w:val="005D0896"/>
    <w:rsid w:val="005F303E"/>
    <w:rsid w:val="005F3DAB"/>
    <w:rsid w:val="005F3F58"/>
    <w:rsid w:val="005F51C6"/>
    <w:rsid w:val="006111A3"/>
    <w:rsid w:val="00613F71"/>
    <w:rsid w:val="00615B11"/>
    <w:rsid w:val="00617C65"/>
    <w:rsid w:val="006231F3"/>
    <w:rsid w:val="00626B2F"/>
    <w:rsid w:val="00633B7B"/>
    <w:rsid w:val="006410B2"/>
    <w:rsid w:val="006439CE"/>
    <w:rsid w:val="00645320"/>
    <w:rsid w:val="00645CDA"/>
    <w:rsid w:val="00647164"/>
    <w:rsid w:val="0065512A"/>
    <w:rsid w:val="006737D9"/>
    <w:rsid w:val="00676A18"/>
    <w:rsid w:val="00684EAD"/>
    <w:rsid w:val="006924DD"/>
    <w:rsid w:val="00692AD1"/>
    <w:rsid w:val="006A1BBF"/>
    <w:rsid w:val="006A3C01"/>
    <w:rsid w:val="006A3DCE"/>
    <w:rsid w:val="006B2FC3"/>
    <w:rsid w:val="006B3890"/>
    <w:rsid w:val="006B4690"/>
    <w:rsid w:val="006B4837"/>
    <w:rsid w:val="006C44DC"/>
    <w:rsid w:val="006C498E"/>
    <w:rsid w:val="006C4CBC"/>
    <w:rsid w:val="006C5A30"/>
    <w:rsid w:val="006C6DBB"/>
    <w:rsid w:val="006E770A"/>
    <w:rsid w:val="006F2E67"/>
    <w:rsid w:val="006F34E7"/>
    <w:rsid w:val="006F6B2B"/>
    <w:rsid w:val="006F7623"/>
    <w:rsid w:val="007079E9"/>
    <w:rsid w:val="007223D3"/>
    <w:rsid w:val="00732068"/>
    <w:rsid w:val="00737A43"/>
    <w:rsid w:val="0074138B"/>
    <w:rsid w:val="007636BD"/>
    <w:rsid w:val="00763F07"/>
    <w:rsid w:val="007663C9"/>
    <w:rsid w:val="0078061A"/>
    <w:rsid w:val="007861F5"/>
    <w:rsid w:val="0079034F"/>
    <w:rsid w:val="00794782"/>
    <w:rsid w:val="007A019B"/>
    <w:rsid w:val="007B33E3"/>
    <w:rsid w:val="007C7164"/>
    <w:rsid w:val="007D4C21"/>
    <w:rsid w:val="007D57B3"/>
    <w:rsid w:val="007E7919"/>
    <w:rsid w:val="00802291"/>
    <w:rsid w:val="00802BAF"/>
    <w:rsid w:val="0080367B"/>
    <w:rsid w:val="00804B0F"/>
    <w:rsid w:val="00821B6A"/>
    <w:rsid w:val="0082305B"/>
    <w:rsid w:val="0082463A"/>
    <w:rsid w:val="00824B23"/>
    <w:rsid w:val="00824E5C"/>
    <w:rsid w:val="008411D2"/>
    <w:rsid w:val="0085000E"/>
    <w:rsid w:val="0085096A"/>
    <w:rsid w:val="00853DA4"/>
    <w:rsid w:val="0086063C"/>
    <w:rsid w:val="008642B4"/>
    <w:rsid w:val="00892384"/>
    <w:rsid w:val="008A5838"/>
    <w:rsid w:val="008B10E4"/>
    <w:rsid w:val="008C0327"/>
    <w:rsid w:val="008C255E"/>
    <w:rsid w:val="008E16A0"/>
    <w:rsid w:val="008F56E4"/>
    <w:rsid w:val="00905524"/>
    <w:rsid w:val="00905952"/>
    <w:rsid w:val="009066AB"/>
    <w:rsid w:val="0090700A"/>
    <w:rsid w:val="009077D2"/>
    <w:rsid w:val="0091064F"/>
    <w:rsid w:val="00914A18"/>
    <w:rsid w:val="00914FB9"/>
    <w:rsid w:val="00925732"/>
    <w:rsid w:val="0092777C"/>
    <w:rsid w:val="0094033E"/>
    <w:rsid w:val="00940A44"/>
    <w:rsid w:val="00940D18"/>
    <w:rsid w:val="009414A4"/>
    <w:rsid w:val="009416E1"/>
    <w:rsid w:val="00944395"/>
    <w:rsid w:val="00946D64"/>
    <w:rsid w:val="009569B4"/>
    <w:rsid w:val="009572F2"/>
    <w:rsid w:val="00960C3E"/>
    <w:rsid w:val="00966950"/>
    <w:rsid w:val="009718F8"/>
    <w:rsid w:val="0098274F"/>
    <w:rsid w:val="009849D4"/>
    <w:rsid w:val="00986EDF"/>
    <w:rsid w:val="00990E54"/>
    <w:rsid w:val="009946A6"/>
    <w:rsid w:val="009A5830"/>
    <w:rsid w:val="009A7246"/>
    <w:rsid w:val="009B1088"/>
    <w:rsid w:val="009B1AAC"/>
    <w:rsid w:val="009B2FAF"/>
    <w:rsid w:val="009C1E3D"/>
    <w:rsid w:val="009C3FB9"/>
    <w:rsid w:val="009D0D16"/>
    <w:rsid w:val="009D3376"/>
    <w:rsid w:val="009E34E6"/>
    <w:rsid w:val="00A031C5"/>
    <w:rsid w:val="00A043B7"/>
    <w:rsid w:val="00A10C69"/>
    <w:rsid w:val="00A11CC9"/>
    <w:rsid w:val="00A121A9"/>
    <w:rsid w:val="00A245B6"/>
    <w:rsid w:val="00A32C61"/>
    <w:rsid w:val="00A36EB1"/>
    <w:rsid w:val="00A4029E"/>
    <w:rsid w:val="00A47045"/>
    <w:rsid w:val="00A479CC"/>
    <w:rsid w:val="00A51669"/>
    <w:rsid w:val="00A56373"/>
    <w:rsid w:val="00A573C3"/>
    <w:rsid w:val="00A6522B"/>
    <w:rsid w:val="00A72B72"/>
    <w:rsid w:val="00A73D7B"/>
    <w:rsid w:val="00A77870"/>
    <w:rsid w:val="00A90EED"/>
    <w:rsid w:val="00A9579D"/>
    <w:rsid w:val="00A959C4"/>
    <w:rsid w:val="00AA1905"/>
    <w:rsid w:val="00AA3399"/>
    <w:rsid w:val="00AB6AE6"/>
    <w:rsid w:val="00AC0980"/>
    <w:rsid w:val="00AC37A0"/>
    <w:rsid w:val="00AE4B76"/>
    <w:rsid w:val="00B02292"/>
    <w:rsid w:val="00B047C7"/>
    <w:rsid w:val="00B071E2"/>
    <w:rsid w:val="00B11997"/>
    <w:rsid w:val="00B12426"/>
    <w:rsid w:val="00B14938"/>
    <w:rsid w:val="00B23907"/>
    <w:rsid w:val="00B26B2F"/>
    <w:rsid w:val="00B323B2"/>
    <w:rsid w:val="00B40979"/>
    <w:rsid w:val="00B45D33"/>
    <w:rsid w:val="00B518A5"/>
    <w:rsid w:val="00B635D8"/>
    <w:rsid w:val="00B705DC"/>
    <w:rsid w:val="00B72152"/>
    <w:rsid w:val="00B73233"/>
    <w:rsid w:val="00B74EA2"/>
    <w:rsid w:val="00B75822"/>
    <w:rsid w:val="00B76393"/>
    <w:rsid w:val="00B77416"/>
    <w:rsid w:val="00B85A2C"/>
    <w:rsid w:val="00B864C3"/>
    <w:rsid w:val="00B95E74"/>
    <w:rsid w:val="00BA3ABE"/>
    <w:rsid w:val="00BB0091"/>
    <w:rsid w:val="00BC08A3"/>
    <w:rsid w:val="00BC0D69"/>
    <w:rsid w:val="00BD778E"/>
    <w:rsid w:val="00BD7D9B"/>
    <w:rsid w:val="00BF6AFE"/>
    <w:rsid w:val="00BF6C2C"/>
    <w:rsid w:val="00C01A91"/>
    <w:rsid w:val="00C041B9"/>
    <w:rsid w:val="00C25C80"/>
    <w:rsid w:val="00C25E0A"/>
    <w:rsid w:val="00C4503D"/>
    <w:rsid w:val="00C451A0"/>
    <w:rsid w:val="00C510A2"/>
    <w:rsid w:val="00C51DD7"/>
    <w:rsid w:val="00C533E4"/>
    <w:rsid w:val="00C623E9"/>
    <w:rsid w:val="00C65D60"/>
    <w:rsid w:val="00C715BF"/>
    <w:rsid w:val="00C7160A"/>
    <w:rsid w:val="00C72681"/>
    <w:rsid w:val="00C738C7"/>
    <w:rsid w:val="00C766A3"/>
    <w:rsid w:val="00C801F4"/>
    <w:rsid w:val="00C81287"/>
    <w:rsid w:val="00C913C9"/>
    <w:rsid w:val="00C94A3A"/>
    <w:rsid w:val="00C96E5C"/>
    <w:rsid w:val="00CA3D7E"/>
    <w:rsid w:val="00CB0832"/>
    <w:rsid w:val="00CB185C"/>
    <w:rsid w:val="00CB29F6"/>
    <w:rsid w:val="00CB2F4D"/>
    <w:rsid w:val="00CD0FA1"/>
    <w:rsid w:val="00CD14B3"/>
    <w:rsid w:val="00CD2ADE"/>
    <w:rsid w:val="00CD7AF6"/>
    <w:rsid w:val="00CE1BFD"/>
    <w:rsid w:val="00D00B66"/>
    <w:rsid w:val="00D22D4F"/>
    <w:rsid w:val="00D24F2F"/>
    <w:rsid w:val="00D30120"/>
    <w:rsid w:val="00D40A7A"/>
    <w:rsid w:val="00D417BF"/>
    <w:rsid w:val="00D508A5"/>
    <w:rsid w:val="00D54E52"/>
    <w:rsid w:val="00D80398"/>
    <w:rsid w:val="00D830C8"/>
    <w:rsid w:val="00D840A4"/>
    <w:rsid w:val="00D848A8"/>
    <w:rsid w:val="00D85AE2"/>
    <w:rsid w:val="00D92BD8"/>
    <w:rsid w:val="00D93D9E"/>
    <w:rsid w:val="00DB1600"/>
    <w:rsid w:val="00DB28F7"/>
    <w:rsid w:val="00DB3D84"/>
    <w:rsid w:val="00DC10E9"/>
    <w:rsid w:val="00DC1F67"/>
    <w:rsid w:val="00DD1C9D"/>
    <w:rsid w:val="00DD2574"/>
    <w:rsid w:val="00DF6B61"/>
    <w:rsid w:val="00DF7F97"/>
    <w:rsid w:val="00E055CD"/>
    <w:rsid w:val="00E07A16"/>
    <w:rsid w:val="00E262AE"/>
    <w:rsid w:val="00E30E18"/>
    <w:rsid w:val="00E3171D"/>
    <w:rsid w:val="00E35EB6"/>
    <w:rsid w:val="00E363DC"/>
    <w:rsid w:val="00E50FBE"/>
    <w:rsid w:val="00E513DA"/>
    <w:rsid w:val="00E64911"/>
    <w:rsid w:val="00E94C72"/>
    <w:rsid w:val="00E96601"/>
    <w:rsid w:val="00EA3E39"/>
    <w:rsid w:val="00EA3E3C"/>
    <w:rsid w:val="00EA4E5A"/>
    <w:rsid w:val="00EC1072"/>
    <w:rsid w:val="00EC11AA"/>
    <w:rsid w:val="00ED2D9E"/>
    <w:rsid w:val="00ED5E4E"/>
    <w:rsid w:val="00EF248F"/>
    <w:rsid w:val="00F0106A"/>
    <w:rsid w:val="00F045E5"/>
    <w:rsid w:val="00F16077"/>
    <w:rsid w:val="00F2062F"/>
    <w:rsid w:val="00F2150B"/>
    <w:rsid w:val="00F25B0B"/>
    <w:rsid w:val="00F3178B"/>
    <w:rsid w:val="00F317E5"/>
    <w:rsid w:val="00F32466"/>
    <w:rsid w:val="00F352CE"/>
    <w:rsid w:val="00F63E28"/>
    <w:rsid w:val="00F674E7"/>
    <w:rsid w:val="00F824DC"/>
    <w:rsid w:val="00F92066"/>
    <w:rsid w:val="00F96449"/>
    <w:rsid w:val="00FB3F4F"/>
    <w:rsid w:val="00FC3674"/>
    <w:rsid w:val="00FE02E9"/>
    <w:rsid w:val="00FE3E9B"/>
    <w:rsid w:val="00FF0F94"/>
    <w:rsid w:val="00FF40E4"/>
    <w:rsid w:val="00FF7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BE611"/>
  <w15:chartTrackingRefBased/>
  <w15:docId w15:val="{5977BCFE-7F8A-4E46-B583-A312F784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bidi/>
    </w:pPr>
    <w:rPr>
      <w:sz w:val="24"/>
      <w:szCs w:val="24"/>
    </w:rPr>
  </w:style>
  <w:style w:type="paragraph" w:styleId="3">
    <w:name w:val="heading 3"/>
    <w:basedOn w:val="a0"/>
    <w:next w:val="a0"/>
    <w:qFormat/>
    <w:rsid w:val="00580279"/>
    <w:pPr>
      <w:keepNext/>
      <w:shd w:val="clear" w:color="auto" w:fill="FFFFFF"/>
      <w:jc w:val="center"/>
      <w:outlineLvl w:val="2"/>
    </w:pPr>
    <w:rPr>
      <w:rFonts w:cs="David"/>
      <w:b/>
      <w:bCs/>
      <w:noProof/>
      <w:sz w:val="32"/>
      <w:szCs w:val="32"/>
      <w:u w:val="single"/>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2540FB"/>
    <w:pPr>
      <w:tabs>
        <w:tab w:val="center" w:pos="4153"/>
        <w:tab w:val="right" w:pos="8306"/>
      </w:tabs>
    </w:pPr>
  </w:style>
  <w:style w:type="paragraph" w:styleId="a5">
    <w:name w:val="footer"/>
    <w:basedOn w:val="a0"/>
    <w:rsid w:val="002540FB"/>
    <w:pPr>
      <w:tabs>
        <w:tab w:val="center" w:pos="4153"/>
        <w:tab w:val="right" w:pos="8306"/>
      </w:tabs>
    </w:pPr>
  </w:style>
  <w:style w:type="paragraph" w:customStyle="1" w:styleId="a6">
    <w:name w:val="כללי"/>
    <w:basedOn w:val="a0"/>
    <w:rsid w:val="00187648"/>
    <w:pPr>
      <w:overflowPunct w:val="0"/>
      <w:autoSpaceDE w:val="0"/>
      <w:autoSpaceDN w:val="0"/>
      <w:adjustRightInd w:val="0"/>
      <w:spacing w:after="190" w:line="270" w:lineRule="exact"/>
      <w:ind w:firstLine="284"/>
      <w:jc w:val="both"/>
      <w:textAlignment w:val="baseline"/>
    </w:pPr>
    <w:rPr>
      <w:rFonts w:cs="FrankRuehl"/>
      <w:sz w:val="20"/>
      <w:lang w:eastAsia="he-IL"/>
    </w:rPr>
  </w:style>
  <w:style w:type="paragraph" w:styleId="a7">
    <w:name w:val="Quote"/>
    <w:basedOn w:val="a6"/>
    <w:qFormat/>
    <w:rsid w:val="00187648"/>
    <w:pPr>
      <w:ind w:left="454" w:right="454" w:firstLine="0"/>
    </w:pPr>
  </w:style>
  <w:style w:type="paragraph" w:styleId="NormalWeb">
    <w:name w:val="Normal (Web)"/>
    <w:basedOn w:val="a0"/>
    <w:rsid w:val="00187648"/>
    <w:pPr>
      <w:bidi w:val="0"/>
      <w:spacing w:before="100" w:beforeAutospacing="1" w:after="100" w:afterAutospacing="1"/>
    </w:pPr>
  </w:style>
  <w:style w:type="paragraph" w:styleId="a8">
    <w:name w:val="Body Text"/>
    <w:basedOn w:val="a0"/>
    <w:rsid w:val="00AB6AE6"/>
    <w:rPr>
      <w:rFonts w:cs="David"/>
      <w:sz w:val="20"/>
      <w:szCs w:val="22"/>
    </w:rPr>
  </w:style>
  <w:style w:type="paragraph" w:styleId="a9">
    <w:name w:val="Block Text"/>
    <w:basedOn w:val="a0"/>
    <w:rsid w:val="00D92BD8"/>
    <w:pPr>
      <w:ind w:left="2880" w:hanging="2852"/>
    </w:pPr>
    <w:rPr>
      <w:rFonts w:cs="David"/>
      <w:sz w:val="20"/>
    </w:rPr>
  </w:style>
  <w:style w:type="paragraph" w:customStyle="1" w:styleId="aa">
    <w:name w:val="כתב"/>
    <w:basedOn w:val="a0"/>
    <w:rsid w:val="00D92BD8"/>
    <w:pPr>
      <w:tabs>
        <w:tab w:val="left" w:pos="425"/>
      </w:tabs>
      <w:spacing w:after="120" w:line="360" w:lineRule="auto"/>
      <w:ind w:left="851" w:hanging="851"/>
      <w:jc w:val="both"/>
    </w:pPr>
    <w:rPr>
      <w:rFonts w:ascii="Arial" w:hAnsi="Arial" w:cs="David"/>
      <w:sz w:val="26"/>
      <w:szCs w:val="26"/>
    </w:rPr>
  </w:style>
  <w:style w:type="character" w:styleId="ab">
    <w:name w:val="Emphasis"/>
    <w:qFormat/>
    <w:rsid w:val="00D92BD8"/>
    <w:rPr>
      <w:i/>
      <w:iCs/>
    </w:rPr>
  </w:style>
  <w:style w:type="character" w:styleId="ac">
    <w:name w:val="page number"/>
    <w:basedOn w:val="a1"/>
    <w:rsid w:val="00D92BD8"/>
  </w:style>
  <w:style w:type="paragraph" w:styleId="2">
    <w:name w:val="Body Text 2"/>
    <w:basedOn w:val="a0"/>
    <w:rsid w:val="00124954"/>
    <w:pPr>
      <w:spacing w:after="120" w:line="480" w:lineRule="auto"/>
    </w:pPr>
  </w:style>
  <w:style w:type="table" w:customStyle="1" w:styleId="ad">
    <w:name w:val="טבלת רשת"/>
    <w:basedOn w:val="a2"/>
    <w:rsid w:val="0044619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0E64C0"/>
    <w:pPr>
      <w:ind w:left="720"/>
      <w:contextualSpacing/>
    </w:pPr>
    <w:rPr>
      <w:rFonts w:cs="David"/>
    </w:rPr>
  </w:style>
  <w:style w:type="character" w:customStyle="1" w:styleId="af">
    <w:name w:val="מיספור אותיות תו"/>
    <w:link w:val="a"/>
    <w:locked/>
    <w:rsid w:val="000E64C0"/>
    <w:rPr>
      <w:rFonts w:cs="David"/>
      <w:sz w:val="22"/>
      <w:szCs w:val="24"/>
    </w:rPr>
  </w:style>
  <w:style w:type="paragraph" w:customStyle="1" w:styleId="a">
    <w:name w:val="מיספור אותיות"/>
    <w:basedOn w:val="a0"/>
    <w:link w:val="af"/>
    <w:rsid w:val="000E64C0"/>
    <w:pPr>
      <w:numPr>
        <w:numId w:val="10"/>
      </w:numPr>
      <w:spacing w:before="240"/>
      <w:jc w:val="both"/>
    </w:pPr>
    <w:rPr>
      <w:rFonts w:cs="Dav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vo.co.il/case/608067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vo.co.il/case/577487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vo.co.il/links/psika/?link=&#1506;&#1488;%201845/90" TargetMode="External"/><Relationship Id="rId4" Type="http://schemas.openxmlformats.org/officeDocument/2006/relationships/webSettings" Target="webSettings.xml"/><Relationship Id="rId9" Type="http://schemas.openxmlformats.org/officeDocument/2006/relationships/hyperlink" Target="http://www.nevo.co.il/case/7678442"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1439</Words>
  <Characters>7198</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ערר 17/06 </vt:lpstr>
    </vt:vector>
  </TitlesOfParts>
  <Company>*</Company>
  <LinksUpToDate>false</LinksUpToDate>
  <CharactersWithSpaces>8620</CharactersWithSpaces>
  <SharedDoc>false</SharedDoc>
  <HLinks>
    <vt:vector size="6" baseType="variant">
      <vt:variant>
        <vt:i4>98239929</vt:i4>
      </vt:variant>
      <vt:variant>
        <vt:i4>0</vt:i4>
      </vt:variant>
      <vt:variant>
        <vt:i4>0</vt:i4>
      </vt:variant>
      <vt:variant>
        <vt:i4>5</vt:i4>
      </vt:variant>
      <vt:variant>
        <vt:lpwstr>http://www.nevo.co.il/links/psika/?link=עא 1845/90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ערר 17/06</dc:title>
  <dc:subject/>
  <dc:creator>sharon</dc:creator>
  <cp:keywords/>
  <cp:lastModifiedBy>דורון אגוזי- עו"ד</cp:lastModifiedBy>
  <cp:revision>117</cp:revision>
  <cp:lastPrinted>2010-11-23T16:09:00Z</cp:lastPrinted>
  <dcterms:created xsi:type="dcterms:W3CDTF">2020-07-30T15:18:00Z</dcterms:created>
  <dcterms:modified xsi:type="dcterms:W3CDTF">2021-09-28T18:37:00Z</dcterms:modified>
</cp:coreProperties>
</file>